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atLeast"/>
        <w:jc w:val="left"/>
        <w:rPr>
          <w:rFonts w:hint="default" w:ascii="黑体" w:hAnsi="黑体" w:eastAsia="黑体" w:cs="黑体"/>
          <w:b w:val="0"/>
          <w:bCs/>
          <w:sz w:val="32"/>
          <w:szCs w:val="32"/>
          <w:u w:val="none"/>
          <w:lang w:val="en-US" w:eastAsia="zh-CN"/>
        </w:rPr>
      </w:pPr>
      <w:r>
        <w:rPr>
          <w:rFonts w:hint="eastAsia" w:ascii="黑体" w:hAnsi="黑体" w:eastAsia="黑体" w:cs="黑体"/>
          <w:b w:val="0"/>
          <w:bCs/>
          <w:sz w:val="32"/>
          <w:szCs w:val="32"/>
          <w:u w:val="none"/>
          <w:lang w:eastAsia="zh-CN"/>
        </w:rPr>
        <w:t>附件</w:t>
      </w:r>
      <w:r>
        <w:rPr>
          <w:rFonts w:hint="eastAsia" w:ascii="黑体" w:hAnsi="黑体" w:eastAsia="黑体" w:cs="黑体"/>
          <w:b w:val="0"/>
          <w:bCs/>
          <w:sz w:val="32"/>
          <w:szCs w:val="32"/>
          <w:u w:val="none"/>
          <w:lang w:val="en-US" w:eastAsia="zh-CN"/>
        </w:rPr>
        <w:t>3</w:t>
      </w:r>
    </w:p>
    <w:p>
      <w:pPr>
        <w:adjustRightInd w:val="0"/>
        <w:snapToGrid w:val="0"/>
        <w:spacing w:line="560" w:lineRule="atLeast"/>
        <w:ind w:firstLine="2395" w:firstLineChars="497"/>
        <w:rPr>
          <w:rFonts w:hint="eastAsia" w:ascii="仿宋_GB2312" w:eastAsia="仿宋_GB2312"/>
          <w:b/>
          <w:sz w:val="48"/>
          <w:szCs w:val="48"/>
          <w:u w:val="single"/>
        </w:rPr>
      </w:pPr>
    </w:p>
    <w:p>
      <w:pPr>
        <w:adjustRightInd w:val="0"/>
        <w:snapToGrid w:val="0"/>
        <w:spacing w:line="560" w:lineRule="atLeast"/>
        <w:ind w:firstLine="2395" w:firstLineChars="497"/>
        <w:rPr>
          <w:rFonts w:hint="eastAsia" w:ascii="仿宋_GB2312" w:eastAsia="仿宋_GB2312"/>
          <w:b/>
          <w:sz w:val="48"/>
          <w:szCs w:val="48"/>
          <w:u w:val="single"/>
        </w:rPr>
      </w:pPr>
    </w:p>
    <w:p>
      <w:pPr>
        <w:adjustRightInd w:val="0"/>
        <w:snapToGrid w:val="0"/>
        <w:spacing w:line="560" w:lineRule="atLeast"/>
        <w:ind w:firstLine="2395" w:firstLineChars="497"/>
        <w:rPr>
          <w:rFonts w:hint="eastAsia" w:ascii="仿宋_GB2312" w:eastAsia="仿宋_GB2312"/>
          <w:b/>
          <w:sz w:val="48"/>
          <w:szCs w:val="48"/>
          <w:u w:val="single"/>
        </w:rPr>
      </w:pPr>
    </w:p>
    <w:p>
      <w:pPr>
        <w:adjustRightInd w:val="0"/>
        <w:snapToGrid w:val="0"/>
        <w:spacing w:line="560" w:lineRule="atLeast"/>
        <w:jc w:val="center"/>
        <w:rPr>
          <w:rFonts w:hint="eastAsia" w:ascii="仿宋_GB2312" w:eastAsia="仿宋_GB2312"/>
          <w:b/>
          <w:sz w:val="72"/>
          <w:szCs w:val="72"/>
          <w:u w:val="single"/>
          <w:lang w:eastAsia="zh-CN"/>
        </w:rPr>
      </w:pPr>
      <w:r>
        <w:rPr>
          <w:rFonts w:hint="eastAsia" w:ascii="仿宋_GB2312" w:eastAsia="仿宋_GB2312"/>
          <w:b/>
          <w:sz w:val="72"/>
          <w:szCs w:val="72"/>
          <w:u w:val="none"/>
          <w:lang w:eastAsia="zh-CN"/>
        </w:rPr>
        <w:t>武汉市江夏区人大常委会办公室</w:t>
      </w:r>
    </w:p>
    <w:p>
      <w:pPr>
        <w:adjustRightInd w:val="0"/>
        <w:snapToGrid w:val="0"/>
        <w:spacing w:line="560" w:lineRule="atLeast"/>
        <w:jc w:val="center"/>
        <w:rPr>
          <w:rFonts w:hint="eastAsia" w:ascii="仿宋_GB2312" w:hAnsi="??" w:eastAsia="仿宋_GB2312"/>
          <w:b/>
          <w:color w:val="000000"/>
          <w:sz w:val="72"/>
          <w:szCs w:val="72"/>
        </w:rPr>
      </w:pPr>
      <w:r>
        <w:rPr>
          <w:rFonts w:hint="eastAsia" w:ascii="仿宋_GB2312" w:hAnsi="??" w:eastAsia="仿宋_GB2312"/>
          <w:b/>
          <w:color w:val="000000"/>
          <w:sz w:val="72"/>
          <w:szCs w:val="72"/>
        </w:rPr>
        <w:t>20</w:t>
      </w:r>
      <w:r>
        <w:rPr>
          <w:rFonts w:hint="eastAsia" w:ascii="仿宋_GB2312" w:hAnsi="??" w:eastAsia="仿宋_GB2312"/>
          <w:b/>
          <w:color w:val="000000"/>
          <w:sz w:val="72"/>
          <w:szCs w:val="72"/>
          <w:lang w:val="en-US" w:eastAsia="zh-CN"/>
        </w:rPr>
        <w:t>21</w:t>
      </w:r>
      <w:r>
        <w:rPr>
          <w:rFonts w:hint="eastAsia" w:ascii="仿宋_GB2312" w:hAnsi="??" w:eastAsia="仿宋_GB2312"/>
          <w:b/>
          <w:color w:val="000000"/>
          <w:sz w:val="72"/>
          <w:szCs w:val="72"/>
        </w:rPr>
        <w:t>年度部门决算</w:t>
      </w:r>
    </w:p>
    <w:p>
      <w:pPr>
        <w:adjustRightInd w:val="0"/>
        <w:snapToGrid w:val="0"/>
        <w:spacing w:line="560" w:lineRule="atLeast"/>
        <w:ind w:firstLine="2125" w:firstLineChars="294"/>
        <w:rPr>
          <w:rFonts w:hint="eastAsia" w:ascii="仿宋_GB2312" w:hAnsi="??" w:eastAsia="仿宋_GB2312"/>
          <w:b/>
          <w:color w:val="000000"/>
          <w:sz w:val="72"/>
          <w:szCs w:val="72"/>
        </w:rPr>
      </w:pPr>
    </w:p>
    <w:p>
      <w:pPr>
        <w:adjustRightInd w:val="0"/>
        <w:snapToGrid w:val="0"/>
        <w:spacing w:line="560" w:lineRule="atLeast"/>
        <w:ind w:firstLine="3614" w:firstLineChars="500"/>
        <w:rPr>
          <w:rFonts w:hint="eastAsia" w:ascii="仿宋_GB2312" w:hAnsi="??" w:eastAsia="仿宋_GB2312"/>
          <w:b/>
          <w:color w:val="000000"/>
          <w:sz w:val="72"/>
          <w:szCs w:val="72"/>
        </w:rPr>
      </w:pPr>
    </w:p>
    <w:p>
      <w:pPr>
        <w:adjustRightInd w:val="0"/>
        <w:snapToGrid w:val="0"/>
        <w:spacing w:line="560" w:lineRule="atLeast"/>
        <w:rPr>
          <w:rFonts w:hint="eastAsia" w:ascii="仿宋_GB2312" w:hAnsi="??" w:eastAsia="仿宋_GB2312"/>
          <w:b/>
          <w:color w:val="000000"/>
          <w:sz w:val="72"/>
          <w:szCs w:val="72"/>
        </w:rPr>
      </w:pPr>
    </w:p>
    <w:p>
      <w:pPr>
        <w:adjustRightInd w:val="0"/>
        <w:snapToGrid w:val="0"/>
        <w:spacing w:line="560" w:lineRule="atLeast"/>
        <w:ind w:firstLine="3614" w:firstLineChars="500"/>
        <w:rPr>
          <w:rFonts w:hint="eastAsia" w:ascii="仿宋_GB2312" w:hAnsi="??" w:eastAsia="仿宋_GB2312"/>
          <w:b/>
          <w:color w:val="000000"/>
          <w:sz w:val="72"/>
          <w:szCs w:val="72"/>
        </w:rPr>
      </w:pPr>
    </w:p>
    <w:p>
      <w:pPr>
        <w:adjustRightInd w:val="0"/>
        <w:snapToGrid w:val="0"/>
        <w:spacing w:line="560" w:lineRule="atLeast"/>
        <w:ind w:firstLine="3614" w:firstLineChars="500"/>
        <w:rPr>
          <w:rFonts w:hint="eastAsia" w:ascii="仿宋_GB2312" w:hAnsi="??" w:eastAsia="仿宋_GB2312"/>
          <w:b/>
          <w:color w:val="000000"/>
          <w:sz w:val="72"/>
          <w:szCs w:val="72"/>
        </w:rPr>
      </w:pPr>
    </w:p>
    <w:p>
      <w:pPr>
        <w:adjustRightInd w:val="0"/>
        <w:snapToGrid w:val="0"/>
        <w:spacing w:line="560" w:lineRule="atLeast"/>
        <w:jc w:val="center"/>
        <w:rPr>
          <w:rFonts w:hint="eastAsia" w:ascii="仿宋_GB2312" w:hAnsi="??" w:eastAsia="仿宋_GB2312"/>
          <w:b/>
          <w:color w:val="000000"/>
          <w:sz w:val="48"/>
          <w:szCs w:val="48"/>
        </w:rPr>
      </w:pPr>
      <w:r>
        <w:rPr>
          <w:rFonts w:hint="eastAsia" w:ascii="仿宋_GB2312" w:hAnsi="??" w:eastAsia="仿宋_GB2312"/>
          <w:b/>
          <w:color w:val="000000"/>
          <w:sz w:val="48"/>
          <w:szCs w:val="48"/>
        </w:rPr>
        <w:t>20</w:t>
      </w:r>
      <w:r>
        <w:rPr>
          <w:rFonts w:hint="eastAsia" w:ascii="仿宋_GB2312" w:hAnsi="??" w:eastAsia="仿宋_GB2312"/>
          <w:b/>
          <w:color w:val="000000"/>
          <w:sz w:val="48"/>
          <w:szCs w:val="48"/>
          <w:lang w:val="en-US" w:eastAsia="zh-CN"/>
        </w:rPr>
        <w:t>22</w:t>
      </w:r>
      <w:r>
        <w:rPr>
          <w:rFonts w:hint="eastAsia" w:ascii="仿宋_GB2312" w:hAnsi="??" w:eastAsia="仿宋_GB2312"/>
          <w:b/>
          <w:color w:val="000000"/>
          <w:sz w:val="48"/>
          <w:szCs w:val="48"/>
        </w:rPr>
        <w:t>年</w:t>
      </w:r>
      <w:r>
        <w:rPr>
          <w:rFonts w:hint="eastAsia" w:ascii="仿宋_GB2312" w:hAnsi="??" w:eastAsia="仿宋_GB2312"/>
          <w:b/>
          <w:color w:val="000000"/>
          <w:sz w:val="48"/>
          <w:szCs w:val="48"/>
          <w:lang w:val="en-US" w:eastAsia="zh-CN"/>
        </w:rPr>
        <w:t>9</w:t>
      </w:r>
      <w:r>
        <w:rPr>
          <w:rFonts w:hint="eastAsia" w:ascii="仿宋_GB2312" w:hAnsi="??" w:eastAsia="仿宋_GB2312"/>
          <w:b/>
          <w:color w:val="000000"/>
          <w:sz w:val="48"/>
          <w:szCs w:val="48"/>
        </w:rPr>
        <w:t>月</w:t>
      </w:r>
      <w:r>
        <w:rPr>
          <w:rFonts w:hint="eastAsia" w:ascii="仿宋_GB2312" w:hAnsi="??" w:eastAsia="仿宋_GB2312"/>
          <w:b/>
          <w:color w:val="000000"/>
          <w:sz w:val="48"/>
          <w:szCs w:val="48"/>
          <w:lang w:val="en-US" w:eastAsia="zh-CN"/>
        </w:rPr>
        <w:t>6</w:t>
      </w:r>
      <w:r>
        <w:rPr>
          <w:rFonts w:hint="eastAsia" w:ascii="仿宋_GB2312" w:hAnsi="??" w:eastAsia="仿宋_GB2312"/>
          <w:b/>
          <w:color w:val="000000"/>
          <w:sz w:val="48"/>
          <w:szCs w:val="48"/>
        </w:rPr>
        <w:t>日</w:t>
      </w:r>
    </w:p>
    <w:p>
      <w:pPr>
        <w:adjustRightInd w:val="0"/>
        <w:snapToGrid w:val="0"/>
        <w:spacing w:line="560" w:lineRule="atLeast"/>
        <w:ind w:firstLine="3132" w:firstLineChars="650"/>
        <w:rPr>
          <w:rFonts w:hint="eastAsia" w:ascii="仿宋_GB2312" w:hAnsi="??" w:eastAsia="仿宋_GB2312"/>
          <w:b/>
          <w:color w:val="000000"/>
          <w:sz w:val="48"/>
          <w:szCs w:val="48"/>
        </w:rPr>
      </w:pPr>
    </w:p>
    <w:p>
      <w:pPr>
        <w:adjustRightInd w:val="0"/>
        <w:snapToGrid w:val="0"/>
        <w:spacing w:line="560" w:lineRule="atLeast"/>
        <w:ind w:firstLine="3132" w:firstLineChars="650"/>
        <w:rPr>
          <w:rFonts w:hint="eastAsia" w:ascii="仿宋_GB2312" w:hAnsi="??" w:eastAsia="仿宋_GB2312"/>
          <w:b/>
          <w:color w:val="000000"/>
          <w:sz w:val="48"/>
          <w:szCs w:val="48"/>
        </w:rPr>
      </w:pPr>
    </w:p>
    <w:p>
      <w:pPr>
        <w:adjustRightInd w:val="0"/>
        <w:snapToGrid w:val="0"/>
        <w:spacing w:line="560" w:lineRule="atLeast"/>
        <w:jc w:val="center"/>
        <w:rPr>
          <w:rFonts w:hint="default" w:ascii="仿宋_GB2312" w:hAnsi="??" w:eastAsia="仿宋_GB2312"/>
          <w:b/>
          <w:color w:val="000000"/>
          <w:sz w:val="32"/>
          <w:szCs w:val="32"/>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hint="eastAsia" w:ascii="仿宋_GB2312" w:hAnsi="??" w:eastAsia="仿宋_GB2312"/>
          <w:b/>
          <w:color w:val="000000"/>
          <w:sz w:val="32"/>
          <w:szCs w:val="32"/>
          <w:lang w:eastAsia="zh-CN"/>
        </w:rPr>
        <w:t>咨询电话：</w:t>
      </w:r>
      <w:r>
        <w:rPr>
          <w:rFonts w:hint="eastAsia" w:ascii="仿宋_GB2312" w:hAnsi="??" w:eastAsia="仿宋_GB2312"/>
          <w:b/>
          <w:color w:val="000000"/>
          <w:sz w:val="32"/>
          <w:szCs w:val="32"/>
          <w:lang w:val="en-US" w:eastAsia="zh-CN"/>
        </w:rPr>
        <w:t>027-81568418       咨询人：黄一帆</w:t>
      </w:r>
    </w:p>
    <w:p>
      <w:pPr>
        <w:pStyle w:val="3"/>
        <w:spacing w:before="0" w:after="0" w:line="360" w:lineRule="auto"/>
        <w:jc w:val="center"/>
        <w:rPr>
          <w:rFonts w:hint="eastAsia" w:ascii="黑体" w:eastAsia="黑体"/>
        </w:rPr>
      </w:pPr>
      <w:r>
        <w:rPr>
          <w:rFonts w:hint="eastAsia" w:ascii="黑体" w:eastAsia="黑体"/>
        </w:rPr>
        <w:t>目录</w:t>
      </w:r>
    </w:p>
    <w:p>
      <w:pPr>
        <w:adjustRightInd w:val="0"/>
        <w:snapToGrid w:val="0"/>
        <w:spacing w:line="360" w:lineRule="auto"/>
        <w:rPr>
          <w:rFonts w:hint="eastAsia" w:ascii="黑体" w:hAnsi="宋体" w:eastAsia="黑体"/>
          <w:bCs/>
          <w:sz w:val="32"/>
          <w:szCs w:val="32"/>
        </w:rPr>
      </w:pPr>
    </w:p>
    <w:p>
      <w:pPr>
        <w:adjustRightInd w:val="0"/>
        <w:snapToGrid w:val="0"/>
        <w:spacing w:line="360" w:lineRule="auto"/>
        <w:rPr>
          <w:rFonts w:hint="eastAsia" w:ascii="黑体" w:hAnsi="宋体" w:eastAsia="黑体"/>
          <w:bCs/>
          <w:sz w:val="32"/>
          <w:szCs w:val="32"/>
        </w:rPr>
      </w:pPr>
      <w:r>
        <w:rPr>
          <w:rFonts w:hint="eastAsia" w:ascii="黑体" w:hAnsi="宋体" w:eastAsia="黑体"/>
          <w:bCs/>
          <w:sz w:val="32"/>
          <w:szCs w:val="32"/>
        </w:rPr>
        <w:t>第一部分、</w:t>
      </w:r>
      <w:r>
        <w:rPr>
          <w:rFonts w:hint="eastAsia" w:ascii="黑体" w:hAnsi="宋体" w:eastAsia="黑体"/>
          <w:bCs/>
          <w:sz w:val="32"/>
          <w:szCs w:val="32"/>
          <w:u w:val="none"/>
          <w:lang w:eastAsia="zh-CN"/>
        </w:rPr>
        <w:t>武汉市江夏区人大常委会办公室</w:t>
      </w:r>
      <w:r>
        <w:rPr>
          <w:rFonts w:hint="eastAsia" w:ascii="黑体" w:eastAsia="黑体"/>
          <w:bCs/>
          <w:sz w:val="32"/>
          <w:szCs w:val="32"/>
        </w:rPr>
        <w:t>基本情况</w:t>
      </w:r>
    </w:p>
    <w:p>
      <w:pPr>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一、部门职能</w:t>
      </w:r>
    </w:p>
    <w:p>
      <w:pPr>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二、部门决算单位构成</w:t>
      </w:r>
    </w:p>
    <w:p>
      <w:pPr>
        <w:pStyle w:val="8"/>
        <w:spacing w:line="360" w:lineRule="auto"/>
        <w:jc w:val="both"/>
        <w:rPr>
          <w:rFonts w:hint="eastAsia" w:ascii="仿宋" w:hAnsi="仿宋" w:eastAsia="仿宋" w:cs="仿宋"/>
          <w:sz w:val="32"/>
          <w:szCs w:val="32"/>
        </w:rPr>
      </w:pPr>
      <w:r>
        <w:rPr>
          <w:rFonts w:hint="eastAsia" w:ascii="仿宋" w:hAnsi="仿宋" w:eastAsia="仿宋" w:cs="仿宋"/>
          <w:sz w:val="32"/>
          <w:szCs w:val="32"/>
        </w:rPr>
        <w:t>三、部门人员构成</w:t>
      </w:r>
    </w:p>
    <w:p>
      <w:pPr>
        <w:adjustRightInd w:val="0"/>
        <w:snapToGrid w:val="0"/>
        <w:spacing w:line="360" w:lineRule="auto"/>
        <w:rPr>
          <w:rFonts w:hint="eastAsia" w:ascii="黑体" w:eastAsia="黑体"/>
          <w:kern w:val="44"/>
          <w:sz w:val="32"/>
          <w:szCs w:val="32"/>
        </w:rPr>
      </w:pPr>
      <w:r>
        <w:rPr>
          <w:rFonts w:hint="eastAsia" w:ascii="黑体" w:hAnsi="宋体" w:eastAsia="黑体"/>
          <w:bCs/>
          <w:sz w:val="32"/>
          <w:szCs w:val="32"/>
        </w:rPr>
        <w:t>第二部分、</w:t>
      </w:r>
      <w:r>
        <w:rPr>
          <w:rFonts w:hint="eastAsia" w:ascii="黑体" w:eastAsia="黑体"/>
          <w:kern w:val="44"/>
          <w:sz w:val="32"/>
          <w:szCs w:val="32"/>
          <w:u w:val="none"/>
          <w:lang w:eastAsia="zh-CN"/>
        </w:rPr>
        <w:t>武汉市江夏区人大常委会办公室</w:t>
      </w:r>
      <w:r>
        <w:rPr>
          <w:rFonts w:hint="eastAsia" w:ascii="黑体" w:eastAsia="黑体"/>
          <w:kern w:val="44"/>
          <w:sz w:val="32"/>
          <w:szCs w:val="32"/>
          <w:lang w:eastAsia="zh-CN"/>
        </w:rPr>
        <w:t>20</w:t>
      </w:r>
      <w:r>
        <w:rPr>
          <w:rFonts w:hint="eastAsia" w:ascii="黑体" w:eastAsia="黑体"/>
          <w:kern w:val="44"/>
          <w:sz w:val="32"/>
          <w:szCs w:val="32"/>
          <w:lang w:val="en-US" w:eastAsia="zh-CN"/>
        </w:rPr>
        <w:t>21</w:t>
      </w:r>
      <w:r>
        <w:rPr>
          <w:rFonts w:hint="eastAsia" w:ascii="黑体" w:eastAsia="黑体"/>
          <w:kern w:val="44"/>
          <w:sz w:val="32"/>
          <w:szCs w:val="32"/>
        </w:rPr>
        <w:t>年度部门决算表</w:t>
      </w:r>
    </w:p>
    <w:p>
      <w:pPr>
        <w:numPr>
          <w:ilvl w:val="0"/>
          <w:numId w:val="1"/>
        </w:num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收入支出决算总表</w:t>
      </w:r>
    </w:p>
    <w:p>
      <w:pPr>
        <w:numPr>
          <w:ilvl w:val="0"/>
          <w:numId w:val="1"/>
        </w:num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收入决算表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三、支出决算表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四、财政拨款收入支出决算总表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五、一般公共预算财政拨款支出决算表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六、一般公共预算财政拨款基本支出决算表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七、一般公共预算财政拨款“三公”经费支出决算表</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八、政府性基金预算财政拨款收入支出决算表</w:t>
      </w:r>
    </w:p>
    <w:p>
      <w:pPr>
        <w:adjustRightInd w:val="0"/>
        <w:snapToGrid w:val="0"/>
        <w:spacing w:line="360" w:lineRule="auto"/>
        <w:rPr>
          <w:rFonts w:hint="eastAsia" w:ascii="仿宋" w:hAnsi="仿宋" w:eastAsia="仿宋" w:cs="仿宋"/>
          <w:bCs/>
          <w:sz w:val="32"/>
          <w:szCs w:val="32"/>
          <w:lang w:eastAsia="zh-CN"/>
        </w:rPr>
      </w:pPr>
      <w:r>
        <w:rPr>
          <w:rFonts w:hint="eastAsia" w:ascii="仿宋" w:hAnsi="仿宋" w:eastAsia="仿宋" w:cs="仿宋"/>
          <w:bCs/>
          <w:sz w:val="32"/>
          <w:szCs w:val="32"/>
          <w:lang w:eastAsia="zh-CN"/>
        </w:rPr>
        <w:t>九、国有资本经营预算财政拨款支出决算表</w:t>
      </w:r>
    </w:p>
    <w:p>
      <w:pPr>
        <w:adjustRightInd w:val="0"/>
        <w:snapToGrid w:val="0"/>
        <w:spacing w:line="360" w:lineRule="auto"/>
        <w:rPr>
          <w:rFonts w:hint="eastAsia" w:ascii="黑体" w:eastAsia="黑体"/>
          <w:kern w:val="44"/>
          <w:sz w:val="32"/>
          <w:szCs w:val="32"/>
        </w:rPr>
      </w:pPr>
      <w:r>
        <w:rPr>
          <w:rFonts w:hint="eastAsia" w:ascii="黑体" w:hAnsi="宋体" w:eastAsia="黑体"/>
          <w:bCs/>
          <w:sz w:val="32"/>
          <w:szCs w:val="32"/>
        </w:rPr>
        <w:t>第三部分、</w:t>
      </w:r>
      <w:r>
        <w:rPr>
          <w:rFonts w:hint="eastAsia" w:ascii="黑体" w:eastAsia="黑体"/>
          <w:kern w:val="44"/>
          <w:sz w:val="32"/>
          <w:szCs w:val="32"/>
          <w:u w:val="none"/>
          <w:lang w:eastAsia="zh-CN"/>
        </w:rPr>
        <w:t>武汉市江夏区人大常委会办公室</w:t>
      </w:r>
      <w:r>
        <w:rPr>
          <w:rFonts w:hint="eastAsia" w:ascii="黑体" w:eastAsia="黑体"/>
          <w:kern w:val="44"/>
          <w:sz w:val="32"/>
          <w:szCs w:val="32"/>
          <w:lang w:eastAsia="zh-CN"/>
        </w:rPr>
        <w:t>20</w:t>
      </w:r>
      <w:r>
        <w:rPr>
          <w:rFonts w:hint="eastAsia" w:ascii="黑体" w:eastAsia="黑体"/>
          <w:kern w:val="44"/>
          <w:sz w:val="32"/>
          <w:szCs w:val="32"/>
          <w:lang w:val="en-US" w:eastAsia="zh-CN"/>
        </w:rPr>
        <w:t>21</w:t>
      </w:r>
      <w:r>
        <w:rPr>
          <w:rFonts w:hint="eastAsia" w:ascii="黑体" w:eastAsia="黑体"/>
          <w:kern w:val="44"/>
          <w:sz w:val="32"/>
          <w:szCs w:val="32"/>
        </w:rPr>
        <w:t>年度部门决算情况说明</w:t>
      </w:r>
    </w:p>
    <w:p>
      <w:pPr>
        <w:pStyle w:val="8"/>
        <w:jc w:val="both"/>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年度收入支出决算总体情况说明</w:t>
      </w:r>
    </w:p>
    <w:p>
      <w:pPr>
        <w:pStyle w:val="8"/>
        <w:jc w:val="both"/>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年度收入决算情况说明</w:t>
      </w:r>
    </w:p>
    <w:p>
      <w:pPr>
        <w:pStyle w:val="8"/>
        <w:jc w:val="both"/>
        <w:rPr>
          <w:rFonts w:hint="eastAsia" w:ascii="仿宋" w:hAnsi="仿宋" w:eastAsia="仿宋" w:cs="仿宋"/>
          <w:sz w:val="32"/>
          <w:szCs w:val="32"/>
        </w:rPr>
      </w:pPr>
      <w:r>
        <w:rPr>
          <w:rFonts w:hint="eastAsia" w:ascii="仿宋" w:hAnsi="仿宋" w:eastAsia="仿宋" w:cs="仿宋"/>
          <w:sz w:val="32"/>
          <w:szCs w:val="32"/>
        </w:rPr>
        <w:t>三、</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年度支出决算情况说明</w:t>
      </w:r>
    </w:p>
    <w:p>
      <w:pPr>
        <w:pStyle w:val="8"/>
        <w:jc w:val="both"/>
        <w:rPr>
          <w:rFonts w:hint="eastAsia" w:ascii="仿宋" w:hAnsi="仿宋" w:eastAsia="仿宋" w:cs="仿宋"/>
          <w:bCs/>
          <w:color w:val="auto"/>
          <w:sz w:val="32"/>
          <w:szCs w:val="32"/>
        </w:rPr>
      </w:pPr>
      <w:r>
        <w:rPr>
          <w:rFonts w:hint="eastAsia" w:ascii="仿宋" w:hAnsi="仿宋" w:eastAsia="仿宋" w:cs="仿宋"/>
          <w:sz w:val="32"/>
          <w:szCs w:val="32"/>
        </w:rPr>
        <w:t>四、</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w:t>
      </w:r>
      <w:r>
        <w:rPr>
          <w:rFonts w:hint="eastAsia" w:ascii="仿宋" w:hAnsi="仿宋" w:eastAsia="仿宋" w:cs="仿宋"/>
          <w:bCs/>
          <w:color w:val="auto"/>
          <w:sz w:val="32"/>
          <w:szCs w:val="32"/>
        </w:rPr>
        <w:t>财政拨款收入支出决算总体情况</w:t>
      </w:r>
      <w:r>
        <w:rPr>
          <w:rFonts w:hint="eastAsia" w:ascii="仿宋" w:hAnsi="仿宋" w:eastAsia="仿宋" w:cs="仿宋"/>
          <w:sz w:val="32"/>
          <w:szCs w:val="32"/>
        </w:rPr>
        <w:t>说明</w:t>
      </w:r>
    </w:p>
    <w:p>
      <w:pPr>
        <w:pStyle w:val="8"/>
        <w:jc w:val="both"/>
        <w:rPr>
          <w:rFonts w:hint="eastAsia" w:ascii="仿宋" w:hAnsi="仿宋" w:eastAsia="仿宋" w:cs="仿宋"/>
          <w:bCs/>
          <w:color w:val="auto"/>
          <w:sz w:val="32"/>
          <w:szCs w:val="32"/>
        </w:rPr>
      </w:pPr>
      <w:r>
        <w:rPr>
          <w:rFonts w:hint="eastAsia" w:ascii="仿宋" w:hAnsi="仿宋" w:eastAsia="仿宋" w:cs="仿宋"/>
          <w:bCs/>
          <w:color w:val="auto"/>
          <w:sz w:val="32"/>
          <w:szCs w:val="32"/>
        </w:rPr>
        <w:t>五、</w:t>
      </w:r>
      <w:r>
        <w:rPr>
          <w:rFonts w:hint="eastAsia" w:ascii="仿宋" w:hAnsi="仿宋" w:eastAsia="仿宋" w:cs="仿宋"/>
          <w:bCs/>
          <w:sz w:val="32"/>
          <w:szCs w:val="32"/>
          <w:lang w:eastAsia="zh-CN"/>
        </w:rPr>
        <w:t>202</w:t>
      </w:r>
      <w:r>
        <w:rPr>
          <w:rFonts w:hint="eastAsia" w:ascii="仿宋" w:hAnsi="仿宋" w:eastAsia="仿宋" w:cs="仿宋"/>
          <w:bCs/>
          <w:sz w:val="32"/>
          <w:szCs w:val="32"/>
          <w:lang w:val="en-US" w:eastAsia="zh-CN"/>
        </w:rPr>
        <w:t>1</w:t>
      </w:r>
      <w:r>
        <w:rPr>
          <w:rFonts w:hint="eastAsia" w:ascii="仿宋" w:hAnsi="仿宋" w:eastAsia="仿宋" w:cs="仿宋"/>
          <w:bCs/>
          <w:sz w:val="32"/>
          <w:szCs w:val="32"/>
        </w:rPr>
        <w:t>年度</w:t>
      </w:r>
      <w:r>
        <w:rPr>
          <w:rFonts w:hint="eastAsia" w:ascii="仿宋" w:hAnsi="仿宋" w:eastAsia="仿宋" w:cs="仿宋"/>
          <w:bCs/>
          <w:color w:val="auto"/>
          <w:sz w:val="32"/>
          <w:szCs w:val="32"/>
        </w:rPr>
        <w:t>一般公共预算财政拨款支出决算情况</w:t>
      </w:r>
      <w:r>
        <w:rPr>
          <w:rFonts w:hint="eastAsia" w:ascii="仿宋" w:hAnsi="仿宋" w:eastAsia="仿宋" w:cs="仿宋"/>
          <w:sz w:val="32"/>
          <w:szCs w:val="32"/>
        </w:rPr>
        <w:t>说明</w:t>
      </w:r>
    </w:p>
    <w:p>
      <w:pPr>
        <w:pStyle w:val="8"/>
        <w:jc w:val="both"/>
        <w:rPr>
          <w:rFonts w:hint="eastAsia" w:ascii="仿宋" w:hAnsi="仿宋" w:eastAsia="仿宋" w:cs="仿宋"/>
          <w:color w:val="auto"/>
          <w:sz w:val="32"/>
          <w:szCs w:val="32"/>
        </w:rPr>
      </w:pPr>
      <w:r>
        <w:rPr>
          <w:rFonts w:hint="eastAsia" w:ascii="仿宋" w:hAnsi="仿宋" w:eastAsia="仿宋" w:cs="仿宋"/>
          <w:color w:val="auto"/>
          <w:sz w:val="32"/>
          <w:szCs w:val="32"/>
        </w:rPr>
        <w:t>六、</w:t>
      </w:r>
      <w:r>
        <w:rPr>
          <w:rFonts w:hint="eastAsia" w:ascii="仿宋" w:hAnsi="仿宋" w:eastAsia="仿宋" w:cs="仿宋"/>
          <w:bCs/>
          <w:sz w:val="32"/>
          <w:szCs w:val="32"/>
          <w:lang w:eastAsia="zh-CN"/>
        </w:rPr>
        <w:t>2021</w:t>
      </w:r>
      <w:r>
        <w:rPr>
          <w:rFonts w:hint="eastAsia" w:ascii="仿宋" w:hAnsi="仿宋" w:eastAsia="仿宋" w:cs="仿宋"/>
          <w:bCs/>
          <w:sz w:val="32"/>
          <w:szCs w:val="32"/>
        </w:rPr>
        <w:t>年度</w:t>
      </w:r>
      <w:r>
        <w:rPr>
          <w:rFonts w:hint="eastAsia" w:ascii="仿宋" w:hAnsi="仿宋" w:eastAsia="仿宋" w:cs="仿宋"/>
          <w:bCs/>
          <w:color w:val="auto"/>
          <w:sz w:val="32"/>
          <w:szCs w:val="32"/>
        </w:rPr>
        <w:t>一般公共预算财政拨款基本支出决算</w:t>
      </w:r>
      <w:r>
        <w:rPr>
          <w:rFonts w:hint="eastAsia" w:ascii="仿宋" w:hAnsi="仿宋" w:eastAsia="仿宋" w:cs="仿宋"/>
          <w:color w:val="auto"/>
          <w:sz w:val="32"/>
          <w:szCs w:val="32"/>
        </w:rPr>
        <w:t>情况</w:t>
      </w:r>
      <w:r>
        <w:rPr>
          <w:rFonts w:hint="eastAsia" w:ascii="仿宋" w:hAnsi="仿宋" w:eastAsia="仿宋" w:cs="仿宋"/>
          <w:sz w:val="32"/>
          <w:szCs w:val="32"/>
        </w:rPr>
        <w:t>说明</w:t>
      </w:r>
    </w:p>
    <w:p>
      <w:pPr>
        <w:pStyle w:val="8"/>
        <w:jc w:val="both"/>
        <w:rPr>
          <w:rFonts w:hint="eastAsia" w:ascii="仿宋" w:hAnsi="仿宋" w:eastAsia="仿宋" w:cs="仿宋"/>
          <w:color w:val="auto"/>
          <w:sz w:val="32"/>
          <w:szCs w:val="32"/>
        </w:rPr>
      </w:pPr>
      <w:r>
        <w:rPr>
          <w:rFonts w:hint="eastAsia" w:ascii="仿宋" w:hAnsi="仿宋" w:eastAsia="仿宋" w:cs="仿宋"/>
          <w:color w:val="auto"/>
          <w:sz w:val="32"/>
          <w:szCs w:val="32"/>
        </w:rPr>
        <w:t>七、</w:t>
      </w:r>
      <w:r>
        <w:rPr>
          <w:rFonts w:hint="eastAsia" w:ascii="仿宋" w:hAnsi="仿宋" w:eastAsia="仿宋" w:cs="仿宋"/>
          <w:color w:val="auto"/>
          <w:sz w:val="32"/>
          <w:szCs w:val="32"/>
          <w:lang w:eastAsia="zh-CN"/>
        </w:rPr>
        <w:t>2021</w:t>
      </w:r>
      <w:r>
        <w:rPr>
          <w:rFonts w:hint="eastAsia" w:ascii="仿宋" w:hAnsi="仿宋" w:eastAsia="仿宋" w:cs="仿宋"/>
          <w:color w:val="auto"/>
          <w:sz w:val="32"/>
          <w:szCs w:val="32"/>
        </w:rPr>
        <w:t>年度一般公共预算财政拨款“三公”经费支出决算情况</w:t>
      </w:r>
      <w:r>
        <w:rPr>
          <w:rFonts w:hint="eastAsia" w:ascii="仿宋" w:hAnsi="仿宋" w:eastAsia="仿宋" w:cs="仿宋"/>
          <w:sz w:val="32"/>
          <w:szCs w:val="32"/>
        </w:rPr>
        <w:t>说明</w:t>
      </w:r>
    </w:p>
    <w:p>
      <w:pPr>
        <w:pStyle w:val="8"/>
        <w:jc w:val="both"/>
        <w:rPr>
          <w:rFonts w:hint="eastAsia" w:ascii="仿宋" w:hAnsi="仿宋" w:eastAsia="仿宋" w:cs="仿宋"/>
          <w:color w:val="auto"/>
          <w:sz w:val="32"/>
          <w:szCs w:val="32"/>
        </w:rPr>
      </w:pPr>
      <w:r>
        <w:rPr>
          <w:rFonts w:hint="eastAsia" w:ascii="仿宋" w:hAnsi="仿宋" w:eastAsia="仿宋" w:cs="仿宋"/>
          <w:color w:val="auto"/>
          <w:sz w:val="32"/>
          <w:szCs w:val="32"/>
        </w:rPr>
        <w:t>八、</w:t>
      </w:r>
      <w:r>
        <w:rPr>
          <w:rFonts w:hint="eastAsia" w:ascii="仿宋" w:hAnsi="仿宋" w:eastAsia="仿宋" w:cs="仿宋"/>
          <w:color w:val="auto"/>
          <w:sz w:val="32"/>
          <w:szCs w:val="32"/>
          <w:lang w:eastAsia="zh-CN"/>
        </w:rPr>
        <w:t>2021</w:t>
      </w:r>
      <w:r>
        <w:rPr>
          <w:rFonts w:hint="eastAsia" w:ascii="仿宋" w:hAnsi="仿宋" w:eastAsia="仿宋" w:cs="仿宋"/>
          <w:color w:val="auto"/>
          <w:sz w:val="32"/>
          <w:szCs w:val="32"/>
        </w:rPr>
        <w:t>年度政府性基金预算财政拨款收入支出决算情况</w:t>
      </w:r>
      <w:r>
        <w:rPr>
          <w:rFonts w:hint="eastAsia" w:ascii="仿宋" w:hAnsi="仿宋" w:eastAsia="仿宋" w:cs="仿宋"/>
          <w:sz w:val="32"/>
          <w:szCs w:val="32"/>
        </w:rPr>
        <w:t>说明</w:t>
      </w:r>
    </w:p>
    <w:p>
      <w:pPr>
        <w:adjustRightInd w:val="0"/>
        <w:snapToGrid w:val="0"/>
        <w:spacing w:line="360" w:lineRule="auto"/>
        <w:rPr>
          <w:rFonts w:hint="default" w:ascii="仿宋" w:hAnsi="仿宋" w:eastAsia="仿宋" w:cs="仿宋"/>
          <w:kern w:val="0"/>
          <w:sz w:val="32"/>
          <w:szCs w:val="32"/>
          <w:lang w:val="en-US" w:eastAsia="zh-CN"/>
        </w:rPr>
      </w:pPr>
      <w:r>
        <w:rPr>
          <w:rFonts w:hint="eastAsia" w:ascii="仿宋" w:hAnsi="仿宋" w:eastAsia="仿宋" w:cs="仿宋"/>
          <w:kern w:val="0"/>
          <w:sz w:val="32"/>
          <w:szCs w:val="32"/>
          <w:lang w:eastAsia="zh-CN"/>
        </w:rPr>
        <w:t>九</w:t>
      </w:r>
      <w:r>
        <w:rPr>
          <w:rFonts w:hint="eastAsia" w:ascii="仿宋" w:hAnsi="仿宋" w:eastAsia="仿宋" w:cs="仿宋"/>
          <w:kern w:val="0"/>
          <w:sz w:val="32"/>
          <w:szCs w:val="32"/>
        </w:rPr>
        <w:t>、</w:t>
      </w:r>
      <w:r>
        <w:rPr>
          <w:rFonts w:hint="eastAsia" w:ascii="仿宋" w:hAnsi="仿宋" w:eastAsia="仿宋" w:cs="仿宋"/>
          <w:kern w:val="0"/>
          <w:sz w:val="32"/>
          <w:szCs w:val="32"/>
          <w:lang w:val="en-US" w:eastAsia="zh-CN"/>
        </w:rPr>
        <w:t>2021年度</w:t>
      </w:r>
      <w:r>
        <w:rPr>
          <w:rFonts w:hint="eastAsia" w:ascii="仿宋" w:hAnsi="仿宋" w:eastAsia="仿宋" w:cs="仿宋"/>
          <w:bCs/>
          <w:sz w:val="32"/>
          <w:szCs w:val="32"/>
          <w:lang w:eastAsia="zh-CN"/>
        </w:rPr>
        <w:t>国有资本经营预算财政拨款支出决算情况说明</w:t>
      </w:r>
    </w:p>
    <w:p>
      <w:pPr>
        <w:adjustRightInd w:val="0"/>
        <w:snapToGrid w:val="0"/>
        <w:spacing w:line="360" w:lineRule="auto"/>
        <w:rPr>
          <w:rFonts w:hint="eastAsia" w:ascii="仿宋" w:hAnsi="仿宋" w:eastAsia="仿宋" w:cs="仿宋"/>
          <w:color w:val="000000"/>
          <w:kern w:val="0"/>
          <w:sz w:val="32"/>
          <w:szCs w:val="32"/>
        </w:rPr>
      </w:pPr>
      <w:r>
        <w:rPr>
          <w:rFonts w:hint="eastAsia" w:ascii="仿宋" w:hAnsi="仿宋" w:eastAsia="仿宋" w:cs="仿宋"/>
          <w:kern w:val="0"/>
          <w:sz w:val="32"/>
          <w:szCs w:val="32"/>
          <w:lang w:eastAsia="zh-CN"/>
        </w:rPr>
        <w:t>十、</w:t>
      </w:r>
      <w:r>
        <w:rPr>
          <w:rFonts w:hint="eastAsia" w:ascii="仿宋" w:hAnsi="仿宋" w:eastAsia="仿宋" w:cs="仿宋"/>
          <w:color w:val="000000"/>
          <w:kern w:val="0"/>
          <w:sz w:val="32"/>
          <w:szCs w:val="32"/>
          <w:lang w:eastAsia="zh-CN"/>
        </w:rPr>
        <w:t>2021</w:t>
      </w:r>
      <w:r>
        <w:rPr>
          <w:rFonts w:hint="eastAsia" w:ascii="仿宋" w:hAnsi="仿宋" w:eastAsia="仿宋" w:cs="仿宋"/>
          <w:color w:val="000000"/>
          <w:kern w:val="0"/>
          <w:sz w:val="32"/>
          <w:szCs w:val="32"/>
        </w:rPr>
        <w:t>年度其他重要事项的情况</w:t>
      </w:r>
      <w:r>
        <w:rPr>
          <w:rFonts w:hint="eastAsia" w:ascii="仿宋" w:hAnsi="仿宋" w:eastAsia="仿宋" w:cs="仿宋"/>
          <w:sz w:val="32"/>
          <w:szCs w:val="32"/>
        </w:rPr>
        <w:t>说明</w:t>
      </w:r>
    </w:p>
    <w:p>
      <w:pPr>
        <w:adjustRightInd w:val="0"/>
        <w:snapToGrid w:val="0"/>
        <w:spacing w:line="360" w:lineRule="auto"/>
        <w:rPr>
          <w:rFonts w:hint="eastAsia" w:ascii="黑体" w:hAnsi="黑体" w:eastAsia="黑体" w:cs="黑体"/>
          <w:color w:val="000000"/>
          <w:kern w:val="0"/>
          <w:sz w:val="32"/>
          <w:szCs w:val="32"/>
        </w:rPr>
      </w:pPr>
      <w:r>
        <w:rPr>
          <w:rFonts w:hint="eastAsia" w:ascii="黑体" w:hAnsi="黑体" w:eastAsia="黑体" w:cs="黑体"/>
          <w:bCs/>
          <w:sz w:val="32"/>
          <w:szCs w:val="32"/>
        </w:rPr>
        <w:t>第四部分、</w:t>
      </w:r>
      <w:r>
        <w:rPr>
          <w:rFonts w:hint="eastAsia" w:ascii="黑体" w:hAnsi="黑体" w:eastAsia="黑体" w:cs="黑体"/>
          <w:color w:val="000000"/>
          <w:kern w:val="0"/>
          <w:sz w:val="32"/>
          <w:szCs w:val="32"/>
        </w:rPr>
        <w:t>名词解释</w:t>
      </w:r>
    </w:p>
    <w:p>
      <w:pPr>
        <w:adjustRightInd w:val="0"/>
        <w:snapToGrid w:val="0"/>
        <w:spacing w:line="360" w:lineRule="auto"/>
        <w:ind w:firstLine="640" w:firstLineChars="200"/>
        <w:rPr>
          <w:rFonts w:hint="eastAsia" w:ascii="仿宋_GB2312" w:hAnsi="宋体" w:eastAsia="仿宋_GB2312"/>
          <w:bCs/>
          <w:sz w:val="32"/>
          <w:szCs w:val="32"/>
        </w:rPr>
      </w:pPr>
    </w:p>
    <w:p>
      <w:pPr>
        <w:adjustRightInd w:val="0"/>
        <w:snapToGrid w:val="0"/>
        <w:spacing w:line="360" w:lineRule="auto"/>
        <w:rPr>
          <w:rFonts w:hint="eastAsia" w:ascii="仿宋_GB2312" w:eastAsia="仿宋_GB2312"/>
          <w:bCs/>
          <w:sz w:val="32"/>
          <w:szCs w:val="32"/>
        </w:rPr>
      </w:pPr>
      <w:r>
        <w:rPr>
          <w:rFonts w:hint="eastAsia" w:ascii="仿宋_GB2312" w:eastAsia="仿宋_GB2312"/>
          <w:sz w:val="32"/>
        </w:rPr>
        <w:br w:type="page"/>
      </w:r>
    </w:p>
    <w:p>
      <w:pPr>
        <w:pStyle w:val="3"/>
        <w:jc w:val="center"/>
        <w:rPr>
          <w:rFonts w:hint="eastAsia" w:ascii="黑体" w:eastAsia="黑体"/>
          <w:b w:val="0"/>
          <w:u w:val="single"/>
        </w:rPr>
      </w:pPr>
      <w:r>
        <w:rPr>
          <w:rFonts w:hint="eastAsia" w:ascii="黑体" w:eastAsia="黑体"/>
          <w:b w:val="0"/>
          <w:u w:val="none"/>
          <w:lang w:eastAsia="zh-CN"/>
        </w:rPr>
        <w:t>武汉市江夏区人大常委会办公室</w:t>
      </w:r>
      <w:r>
        <w:rPr>
          <w:rFonts w:hint="eastAsia" w:ascii="黑体" w:eastAsia="黑体"/>
          <w:b w:val="0"/>
          <w:lang w:eastAsia="zh-CN"/>
        </w:rPr>
        <w:t>2021</w:t>
      </w:r>
      <w:r>
        <w:rPr>
          <w:rFonts w:hint="eastAsia" w:ascii="黑体" w:eastAsia="黑体"/>
          <w:b w:val="0"/>
        </w:rPr>
        <w:t>年度部门决算情况说明</w:t>
      </w:r>
    </w:p>
    <w:p>
      <w:pPr>
        <w:adjustRightInd w:val="0"/>
        <w:snapToGrid w:val="0"/>
        <w:spacing w:line="360" w:lineRule="auto"/>
        <w:jc w:val="center"/>
        <w:rPr>
          <w:rFonts w:hint="eastAsia" w:ascii="黑体" w:eastAsia="黑体"/>
          <w:bCs/>
          <w:sz w:val="32"/>
          <w:szCs w:val="32"/>
        </w:rPr>
      </w:pPr>
      <w:r>
        <w:rPr>
          <w:rFonts w:hint="eastAsia" w:ascii="黑体" w:hAnsi="宋体" w:eastAsia="黑体"/>
          <w:bCs/>
          <w:sz w:val="32"/>
          <w:szCs w:val="32"/>
        </w:rPr>
        <w:t xml:space="preserve">第一部分  </w:t>
      </w:r>
      <w:r>
        <w:rPr>
          <w:rFonts w:hint="eastAsia" w:ascii="黑体" w:hAnsi="宋体" w:eastAsia="黑体"/>
          <w:bCs/>
          <w:sz w:val="32"/>
          <w:szCs w:val="32"/>
          <w:u w:val="none"/>
          <w:lang w:eastAsia="zh-CN"/>
        </w:rPr>
        <w:t>武汉市江夏区人大常委会办公室</w:t>
      </w:r>
      <w:r>
        <w:rPr>
          <w:rFonts w:hint="eastAsia" w:ascii="黑体" w:eastAsia="黑体"/>
          <w:bCs/>
          <w:sz w:val="32"/>
          <w:szCs w:val="32"/>
        </w:rPr>
        <w:t>基本情况</w:t>
      </w:r>
    </w:p>
    <w:p>
      <w:pPr>
        <w:numPr>
          <w:ilvl w:val="0"/>
          <w:numId w:val="2"/>
        </w:numPr>
        <w:adjustRightInd w:val="0"/>
        <w:snapToGrid w:val="0"/>
        <w:spacing w:line="560" w:lineRule="atLeast"/>
        <w:ind w:firstLine="643" w:firstLineChars="200"/>
        <w:rPr>
          <w:rFonts w:hint="eastAsia" w:ascii="仿宋" w:hAnsi="仿宋" w:eastAsia="仿宋" w:cs="仿宋"/>
          <w:b/>
          <w:sz w:val="32"/>
          <w:szCs w:val="32"/>
        </w:rPr>
      </w:pPr>
      <w:r>
        <w:rPr>
          <w:rFonts w:hint="eastAsia" w:ascii="仿宋" w:hAnsi="仿宋" w:eastAsia="仿宋" w:cs="仿宋"/>
          <w:b/>
          <w:sz w:val="32"/>
          <w:szCs w:val="32"/>
        </w:rPr>
        <w:t>部门职能</w:t>
      </w:r>
    </w:p>
    <w:p>
      <w:pPr>
        <w:numPr>
          <w:ilvl w:val="0"/>
          <w:numId w:val="0"/>
        </w:numPr>
        <w:adjustRightInd w:val="0"/>
        <w:snapToGrid w:val="0"/>
        <w:spacing w:line="560" w:lineRule="atLeast"/>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 xml:space="preserve">   </w:t>
      </w:r>
      <w:r>
        <w:rPr>
          <w:rFonts w:hint="eastAsia" w:ascii="仿宋" w:hAnsi="仿宋" w:eastAsia="仿宋" w:cs="仿宋"/>
          <w:b w:val="0"/>
          <w:bCs/>
          <w:sz w:val="32"/>
          <w:szCs w:val="32"/>
          <w:lang w:val="en-US" w:eastAsia="zh-CN"/>
        </w:rPr>
        <w:t>1、承担人民代表大会会议、常委会会议、主任会议和常委会党组会议以及办公室召开的有关会议的筹备和会务工作；负责常委会组成人员视察的有关工作。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atLeast"/>
        <w:ind w:firstLine="640" w:firstLineChars="20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2、受主任会议委托，承担起草有关文件、文书等工作。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atLeast"/>
        <w:ind w:firstLine="640" w:firstLineChars="200"/>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3、承担常委会机关的人事管理、离退休干部管理和服务工作。</w:t>
      </w:r>
    </w:p>
    <w:p>
      <w:pPr>
        <w:numPr>
          <w:ilvl w:val="0"/>
          <w:numId w:val="0"/>
        </w:numPr>
        <w:adjustRightInd w:val="0"/>
        <w:snapToGrid w:val="0"/>
        <w:spacing w:line="560" w:lineRule="atLeast"/>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4、承担区人大机关的行政管理和后勤保障工作，负责机关的环境卫生、安全保卫工作。</w:t>
      </w:r>
    </w:p>
    <w:p>
      <w:pPr>
        <w:numPr>
          <w:ilvl w:val="0"/>
          <w:numId w:val="0"/>
        </w:numPr>
        <w:adjustRightInd w:val="0"/>
        <w:snapToGrid w:val="0"/>
        <w:spacing w:line="560" w:lineRule="atLeast"/>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 xml:space="preserve">5、负责区人大及其常委会文电、档案、保密、文印工作。 </w:t>
      </w:r>
    </w:p>
    <w:p>
      <w:pPr>
        <w:numPr>
          <w:ilvl w:val="0"/>
          <w:numId w:val="0"/>
        </w:numPr>
        <w:adjustRightInd w:val="0"/>
        <w:snapToGrid w:val="0"/>
        <w:spacing w:line="560" w:lineRule="atLeast"/>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6、负责区人大机关的接待和对外联络服务工作。</w:t>
      </w:r>
    </w:p>
    <w:p>
      <w:pPr>
        <w:numPr>
          <w:ilvl w:val="0"/>
          <w:numId w:val="0"/>
        </w:numPr>
        <w:adjustRightInd w:val="0"/>
        <w:snapToGrid w:val="0"/>
        <w:spacing w:line="560" w:lineRule="atLeast"/>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7、负责协调区人大常委会各工作委员会的工作。</w:t>
      </w:r>
    </w:p>
    <w:p>
      <w:pPr>
        <w:numPr>
          <w:ilvl w:val="0"/>
          <w:numId w:val="0"/>
        </w:numPr>
        <w:adjustRightInd w:val="0"/>
        <w:snapToGrid w:val="0"/>
        <w:spacing w:line="560" w:lineRule="atLeast"/>
        <w:ind w:firstLine="640" w:firstLineChars="200"/>
        <w:rPr>
          <w:rFonts w:hint="default"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8、办理群众来信，接待群众来访；组织系统内干部的学习和培训工作。</w:t>
      </w:r>
    </w:p>
    <w:p>
      <w:pPr>
        <w:numPr>
          <w:ilvl w:val="0"/>
          <w:numId w:val="2"/>
        </w:numPr>
        <w:adjustRightInd w:val="0"/>
        <w:snapToGrid w:val="0"/>
        <w:spacing w:line="560" w:lineRule="atLeast"/>
        <w:ind w:firstLine="643" w:firstLineChars="200"/>
        <w:rPr>
          <w:rFonts w:hint="eastAsia" w:ascii="仿宋" w:hAnsi="仿宋" w:eastAsia="仿宋" w:cs="仿宋"/>
          <w:b/>
          <w:sz w:val="32"/>
          <w:szCs w:val="32"/>
        </w:rPr>
      </w:pPr>
      <w:r>
        <w:rPr>
          <w:rFonts w:hint="eastAsia" w:ascii="仿宋" w:hAnsi="仿宋" w:eastAsia="仿宋" w:cs="仿宋"/>
          <w:b/>
          <w:sz w:val="32"/>
          <w:szCs w:val="32"/>
        </w:rPr>
        <w:t>部门决算单位构成</w:t>
      </w:r>
    </w:p>
    <w:p>
      <w:pPr>
        <w:adjustRightInd w:val="0"/>
        <w:snapToGrid w:val="0"/>
        <w:spacing w:line="560" w:lineRule="atLeast"/>
        <w:ind w:firstLine="640" w:firstLineChars="200"/>
        <w:rPr>
          <w:rFonts w:hint="eastAsia" w:ascii="仿宋" w:hAnsi="仿宋" w:eastAsia="仿宋" w:cs="仿宋"/>
          <w:bCs/>
          <w:sz w:val="32"/>
          <w:szCs w:val="32"/>
          <w:u w:val="none"/>
        </w:rPr>
      </w:pPr>
      <w:r>
        <w:rPr>
          <w:rFonts w:hint="eastAsia" w:ascii="仿宋" w:hAnsi="仿宋" w:eastAsia="仿宋" w:cs="仿宋"/>
          <w:bCs/>
          <w:sz w:val="32"/>
          <w:szCs w:val="32"/>
          <w:u w:val="none"/>
        </w:rPr>
        <w:t>从决算构成单位来看，</w:t>
      </w: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sz w:val="32"/>
          <w:szCs w:val="32"/>
          <w:u w:val="none"/>
        </w:rPr>
        <w:t>部门决算由单位本级决算和纳入决算汇编范围的</w:t>
      </w:r>
      <w:r>
        <w:rPr>
          <w:rFonts w:hint="eastAsia" w:ascii="仿宋" w:hAnsi="仿宋" w:eastAsia="仿宋" w:cs="仿宋"/>
          <w:bCs/>
          <w:sz w:val="32"/>
          <w:szCs w:val="32"/>
          <w:u w:val="none"/>
          <w:lang w:val="en-US" w:eastAsia="zh-CN"/>
        </w:rPr>
        <w:t>0</w:t>
      </w:r>
      <w:r>
        <w:rPr>
          <w:rFonts w:hint="eastAsia" w:ascii="仿宋" w:hAnsi="仿宋" w:eastAsia="仿宋" w:cs="仿宋"/>
          <w:bCs/>
          <w:sz w:val="32"/>
          <w:szCs w:val="32"/>
          <w:u w:val="none"/>
        </w:rPr>
        <w:t>个下属单位决算组成。其中：行政单位</w:t>
      </w:r>
      <w:r>
        <w:rPr>
          <w:rFonts w:hint="eastAsia" w:ascii="仿宋" w:hAnsi="仿宋" w:eastAsia="仿宋" w:cs="仿宋"/>
          <w:bCs/>
          <w:kern w:val="44"/>
          <w:sz w:val="32"/>
          <w:szCs w:val="32"/>
          <w:u w:val="none"/>
          <w:lang w:val="en-US" w:eastAsia="zh-CN"/>
        </w:rPr>
        <w:t>1</w:t>
      </w:r>
      <w:r>
        <w:rPr>
          <w:rFonts w:hint="eastAsia" w:ascii="仿宋" w:hAnsi="仿宋" w:eastAsia="仿宋" w:cs="仿宋"/>
          <w:bCs/>
          <w:sz w:val="32"/>
          <w:szCs w:val="32"/>
          <w:u w:val="none"/>
        </w:rPr>
        <w:t>个、参照公务员法管理事业单位</w:t>
      </w:r>
      <w:r>
        <w:rPr>
          <w:rFonts w:hint="eastAsia" w:ascii="仿宋" w:hAnsi="仿宋" w:eastAsia="仿宋" w:cs="仿宋"/>
          <w:bCs/>
          <w:kern w:val="44"/>
          <w:sz w:val="32"/>
          <w:szCs w:val="32"/>
          <w:u w:val="none"/>
          <w:lang w:val="en-US" w:eastAsia="zh-CN"/>
        </w:rPr>
        <w:t>0</w:t>
      </w:r>
      <w:r>
        <w:rPr>
          <w:rFonts w:hint="eastAsia" w:ascii="仿宋" w:hAnsi="仿宋" w:eastAsia="仿宋" w:cs="仿宋"/>
          <w:bCs/>
          <w:sz w:val="32"/>
          <w:szCs w:val="32"/>
          <w:u w:val="none"/>
        </w:rPr>
        <w:t>个、全额拨款事业单位</w:t>
      </w:r>
      <w:r>
        <w:rPr>
          <w:rFonts w:hint="eastAsia" w:ascii="仿宋" w:hAnsi="仿宋" w:eastAsia="仿宋" w:cs="仿宋"/>
          <w:bCs/>
          <w:kern w:val="44"/>
          <w:sz w:val="32"/>
          <w:szCs w:val="32"/>
          <w:u w:val="none"/>
          <w:lang w:val="en-US" w:eastAsia="zh-CN"/>
        </w:rPr>
        <w:t>0</w:t>
      </w:r>
      <w:r>
        <w:rPr>
          <w:rFonts w:hint="eastAsia" w:ascii="仿宋" w:hAnsi="仿宋" w:eastAsia="仿宋" w:cs="仿宋"/>
          <w:bCs/>
          <w:sz w:val="32"/>
          <w:szCs w:val="32"/>
          <w:u w:val="none"/>
        </w:rPr>
        <w:t>个、差额拨款事业单位</w:t>
      </w:r>
      <w:r>
        <w:rPr>
          <w:rFonts w:hint="eastAsia" w:ascii="仿宋" w:hAnsi="仿宋" w:eastAsia="仿宋" w:cs="仿宋"/>
          <w:bCs/>
          <w:kern w:val="44"/>
          <w:sz w:val="32"/>
          <w:szCs w:val="32"/>
          <w:u w:val="none"/>
        </w:rPr>
        <w:t xml:space="preserve"> </w:t>
      </w:r>
      <w:r>
        <w:rPr>
          <w:rFonts w:hint="eastAsia" w:ascii="仿宋" w:hAnsi="仿宋" w:eastAsia="仿宋" w:cs="仿宋"/>
          <w:bCs/>
          <w:kern w:val="44"/>
          <w:sz w:val="32"/>
          <w:szCs w:val="32"/>
          <w:u w:val="none"/>
          <w:lang w:val="en-US" w:eastAsia="zh-CN"/>
        </w:rPr>
        <w:t>0</w:t>
      </w:r>
      <w:r>
        <w:rPr>
          <w:rFonts w:hint="eastAsia" w:ascii="仿宋" w:hAnsi="仿宋" w:eastAsia="仿宋" w:cs="仿宋"/>
          <w:bCs/>
          <w:sz w:val="32"/>
          <w:szCs w:val="32"/>
          <w:u w:val="none"/>
        </w:rPr>
        <w:t>个、自收自支事业单位</w:t>
      </w:r>
      <w:r>
        <w:rPr>
          <w:rFonts w:hint="eastAsia" w:ascii="仿宋" w:hAnsi="仿宋" w:eastAsia="仿宋" w:cs="仿宋"/>
          <w:bCs/>
          <w:sz w:val="32"/>
          <w:szCs w:val="32"/>
          <w:u w:val="none"/>
          <w:lang w:val="en-US" w:eastAsia="zh-CN"/>
        </w:rPr>
        <w:t>0</w:t>
      </w:r>
      <w:r>
        <w:rPr>
          <w:rFonts w:hint="eastAsia" w:ascii="仿宋" w:hAnsi="仿宋" w:eastAsia="仿宋" w:cs="仿宋"/>
          <w:bCs/>
          <w:sz w:val="32"/>
          <w:szCs w:val="32"/>
          <w:u w:val="none"/>
        </w:rPr>
        <w:t>个。</w:t>
      </w:r>
    </w:p>
    <w:p>
      <w:pPr>
        <w:adjustRightInd w:val="0"/>
        <w:snapToGrid w:val="0"/>
        <w:spacing w:line="560" w:lineRule="atLeast"/>
        <w:ind w:firstLine="643" w:firstLineChars="200"/>
        <w:rPr>
          <w:rFonts w:hint="eastAsia" w:ascii="仿宋" w:hAnsi="仿宋" w:eastAsia="仿宋" w:cs="仿宋"/>
          <w:b/>
          <w:bCs/>
          <w:sz w:val="32"/>
          <w:szCs w:val="32"/>
          <w:u w:val="none"/>
        </w:rPr>
      </w:pPr>
      <w:r>
        <w:rPr>
          <w:rFonts w:hint="eastAsia" w:ascii="仿宋" w:hAnsi="仿宋" w:eastAsia="仿宋" w:cs="仿宋"/>
          <w:b/>
          <w:sz w:val="32"/>
          <w:szCs w:val="32"/>
          <w:u w:val="none"/>
        </w:rPr>
        <w:t>三、部门</w:t>
      </w:r>
      <w:r>
        <w:rPr>
          <w:rFonts w:hint="eastAsia" w:ascii="仿宋" w:hAnsi="仿宋" w:eastAsia="仿宋" w:cs="仿宋"/>
          <w:b/>
          <w:bCs/>
          <w:sz w:val="32"/>
          <w:szCs w:val="32"/>
          <w:u w:val="none"/>
        </w:rPr>
        <w:t>人员构成</w:t>
      </w:r>
    </w:p>
    <w:p>
      <w:pPr>
        <w:adjustRightInd w:val="0"/>
        <w:snapToGrid w:val="0"/>
        <w:spacing w:line="560" w:lineRule="atLeast"/>
        <w:ind w:firstLine="640" w:firstLineChars="200"/>
        <w:rPr>
          <w:rFonts w:hint="eastAsia" w:ascii="仿宋" w:hAnsi="仿宋" w:eastAsia="仿宋" w:cs="仿宋"/>
          <w:bCs/>
          <w:sz w:val="32"/>
          <w:szCs w:val="32"/>
          <w:highlight w:val="none"/>
          <w:u w:val="none"/>
        </w:rPr>
      </w:pPr>
      <w:r>
        <w:rPr>
          <w:rFonts w:hint="eastAsia" w:ascii="仿宋" w:hAnsi="仿宋" w:eastAsia="仿宋" w:cs="仿宋"/>
          <w:bCs/>
          <w:sz w:val="32"/>
          <w:szCs w:val="32"/>
          <w:highlight w:val="none"/>
          <w:u w:val="none"/>
          <w:lang w:eastAsia="zh-CN"/>
        </w:rPr>
        <w:t>武汉市江夏区人大常委会办公室</w:t>
      </w:r>
      <w:r>
        <w:rPr>
          <w:rFonts w:hint="eastAsia" w:ascii="仿宋" w:hAnsi="仿宋" w:eastAsia="仿宋" w:cs="仿宋"/>
          <w:bCs/>
          <w:sz w:val="32"/>
          <w:szCs w:val="32"/>
          <w:highlight w:val="none"/>
          <w:u w:val="none"/>
        </w:rPr>
        <w:t>总编制人数</w:t>
      </w:r>
      <w:r>
        <w:rPr>
          <w:rFonts w:hint="eastAsia" w:ascii="仿宋" w:hAnsi="仿宋" w:eastAsia="仿宋" w:cs="仿宋"/>
          <w:bCs/>
          <w:kern w:val="44"/>
          <w:sz w:val="32"/>
          <w:szCs w:val="32"/>
          <w:highlight w:val="none"/>
          <w:u w:val="none"/>
          <w:lang w:val="en-US" w:eastAsia="zh-CN"/>
        </w:rPr>
        <w:t>46</w:t>
      </w:r>
      <w:r>
        <w:rPr>
          <w:rFonts w:hint="eastAsia" w:ascii="仿宋" w:hAnsi="仿宋" w:eastAsia="仿宋" w:cs="仿宋"/>
          <w:bCs/>
          <w:sz w:val="32"/>
          <w:szCs w:val="32"/>
          <w:highlight w:val="none"/>
          <w:u w:val="none"/>
        </w:rPr>
        <w:t>人，其中：行政编制</w:t>
      </w:r>
      <w:r>
        <w:rPr>
          <w:rFonts w:hint="eastAsia" w:ascii="仿宋" w:hAnsi="仿宋" w:eastAsia="仿宋" w:cs="仿宋"/>
          <w:bCs/>
          <w:kern w:val="44"/>
          <w:sz w:val="32"/>
          <w:szCs w:val="32"/>
          <w:highlight w:val="none"/>
          <w:u w:val="none"/>
          <w:lang w:val="en-US" w:eastAsia="zh-CN"/>
        </w:rPr>
        <w:t>28</w:t>
      </w:r>
      <w:r>
        <w:rPr>
          <w:rFonts w:hint="eastAsia" w:ascii="仿宋" w:hAnsi="仿宋" w:eastAsia="仿宋" w:cs="仿宋"/>
          <w:bCs/>
          <w:sz w:val="32"/>
          <w:szCs w:val="32"/>
          <w:highlight w:val="none"/>
          <w:u w:val="none"/>
        </w:rPr>
        <w:t>人，事业编制</w:t>
      </w:r>
      <w:r>
        <w:rPr>
          <w:rFonts w:hint="eastAsia" w:ascii="仿宋" w:hAnsi="仿宋" w:eastAsia="仿宋" w:cs="仿宋"/>
          <w:bCs/>
          <w:kern w:val="44"/>
          <w:sz w:val="32"/>
          <w:szCs w:val="32"/>
          <w:highlight w:val="none"/>
          <w:u w:val="none"/>
          <w:lang w:val="en-US" w:eastAsia="zh-CN"/>
        </w:rPr>
        <w:t>18</w:t>
      </w:r>
      <w:r>
        <w:rPr>
          <w:rFonts w:hint="eastAsia" w:ascii="仿宋" w:hAnsi="仿宋" w:eastAsia="仿宋" w:cs="仿宋"/>
          <w:bCs/>
          <w:sz w:val="32"/>
          <w:szCs w:val="32"/>
          <w:highlight w:val="none"/>
          <w:u w:val="none"/>
        </w:rPr>
        <w:t>人(其中：参照公务员法管理</w:t>
      </w:r>
      <w:r>
        <w:rPr>
          <w:rFonts w:hint="eastAsia" w:ascii="仿宋" w:hAnsi="仿宋" w:eastAsia="仿宋" w:cs="仿宋"/>
          <w:bCs/>
          <w:kern w:val="44"/>
          <w:sz w:val="32"/>
          <w:szCs w:val="32"/>
          <w:highlight w:val="none"/>
          <w:u w:val="none"/>
          <w:lang w:val="en-US" w:eastAsia="zh-CN"/>
        </w:rPr>
        <w:t>0</w:t>
      </w:r>
      <w:r>
        <w:rPr>
          <w:rFonts w:hint="eastAsia" w:ascii="仿宋" w:hAnsi="仿宋" w:eastAsia="仿宋" w:cs="仿宋"/>
          <w:bCs/>
          <w:sz w:val="32"/>
          <w:szCs w:val="32"/>
          <w:highlight w:val="none"/>
          <w:u w:val="none"/>
        </w:rPr>
        <w:t>人)。在职实有人数</w:t>
      </w:r>
      <w:r>
        <w:rPr>
          <w:rFonts w:hint="eastAsia" w:ascii="仿宋" w:hAnsi="仿宋" w:eastAsia="仿宋" w:cs="仿宋"/>
          <w:bCs/>
          <w:sz w:val="32"/>
          <w:szCs w:val="32"/>
          <w:highlight w:val="none"/>
          <w:u w:val="none"/>
          <w:lang w:val="en-US" w:eastAsia="zh-CN"/>
        </w:rPr>
        <w:t>46</w:t>
      </w:r>
      <w:r>
        <w:rPr>
          <w:rFonts w:hint="eastAsia" w:ascii="仿宋" w:hAnsi="仿宋" w:eastAsia="仿宋" w:cs="仿宋"/>
          <w:bCs/>
          <w:sz w:val="32"/>
          <w:szCs w:val="32"/>
          <w:highlight w:val="none"/>
          <w:u w:val="none"/>
        </w:rPr>
        <w:t>人，其中：行政</w:t>
      </w:r>
      <w:r>
        <w:rPr>
          <w:rFonts w:hint="eastAsia" w:ascii="仿宋" w:hAnsi="仿宋" w:eastAsia="仿宋" w:cs="仿宋"/>
          <w:bCs/>
          <w:kern w:val="44"/>
          <w:sz w:val="32"/>
          <w:szCs w:val="32"/>
          <w:highlight w:val="none"/>
          <w:u w:val="none"/>
          <w:lang w:val="en-US" w:eastAsia="zh-CN"/>
        </w:rPr>
        <w:t>28</w:t>
      </w:r>
      <w:r>
        <w:rPr>
          <w:rFonts w:hint="eastAsia" w:ascii="仿宋" w:hAnsi="仿宋" w:eastAsia="仿宋" w:cs="仿宋"/>
          <w:bCs/>
          <w:sz w:val="32"/>
          <w:szCs w:val="32"/>
          <w:highlight w:val="none"/>
          <w:u w:val="none"/>
        </w:rPr>
        <w:t>人，事业</w:t>
      </w:r>
      <w:r>
        <w:rPr>
          <w:rFonts w:hint="eastAsia" w:ascii="仿宋" w:hAnsi="仿宋" w:eastAsia="仿宋" w:cs="仿宋"/>
          <w:bCs/>
          <w:kern w:val="44"/>
          <w:sz w:val="32"/>
          <w:szCs w:val="32"/>
          <w:highlight w:val="none"/>
          <w:u w:val="none"/>
          <w:lang w:val="en-US" w:eastAsia="zh-CN"/>
        </w:rPr>
        <w:t>18</w:t>
      </w:r>
      <w:r>
        <w:rPr>
          <w:rFonts w:hint="eastAsia" w:ascii="仿宋" w:hAnsi="仿宋" w:eastAsia="仿宋" w:cs="仿宋"/>
          <w:bCs/>
          <w:sz w:val="32"/>
          <w:szCs w:val="32"/>
          <w:highlight w:val="none"/>
          <w:u w:val="none"/>
        </w:rPr>
        <w:t>人(其中：参照公务员法管理</w:t>
      </w:r>
      <w:r>
        <w:rPr>
          <w:rFonts w:hint="eastAsia" w:ascii="仿宋" w:hAnsi="仿宋" w:eastAsia="仿宋" w:cs="仿宋"/>
          <w:bCs/>
          <w:kern w:val="44"/>
          <w:sz w:val="32"/>
          <w:szCs w:val="32"/>
          <w:highlight w:val="none"/>
          <w:u w:val="none"/>
          <w:lang w:val="en-US" w:eastAsia="zh-CN"/>
        </w:rPr>
        <w:t>0</w:t>
      </w:r>
      <w:r>
        <w:rPr>
          <w:rFonts w:hint="eastAsia" w:ascii="仿宋" w:hAnsi="仿宋" w:eastAsia="仿宋" w:cs="仿宋"/>
          <w:bCs/>
          <w:sz w:val="32"/>
          <w:szCs w:val="32"/>
          <w:highlight w:val="none"/>
          <w:u w:val="none"/>
        </w:rPr>
        <w:t>人)。</w:t>
      </w:r>
    </w:p>
    <w:p>
      <w:pPr>
        <w:adjustRightInd w:val="0"/>
        <w:snapToGrid w:val="0"/>
        <w:spacing w:line="560" w:lineRule="atLeast"/>
        <w:ind w:firstLine="640" w:firstLineChars="200"/>
        <w:rPr>
          <w:rFonts w:hint="eastAsia" w:ascii="仿宋" w:hAnsi="仿宋" w:eastAsia="仿宋" w:cs="仿宋"/>
          <w:bCs/>
          <w:sz w:val="32"/>
          <w:szCs w:val="32"/>
          <w:highlight w:val="none"/>
        </w:rPr>
      </w:pPr>
      <w:r>
        <w:rPr>
          <w:rFonts w:hint="eastAsia" w:ascii="仿宋" w:hAnsi="仿宋" w:eastAsia="仿宋" w:cs="仿宋"/>
          <w:bCs/>
          <w:sz w:val="32"/>
          <w:szCs w:val="32"/>
          <w:highlight w:val="none"/>
          <w:u w:val="none"/>
        </w:rPr>
        <w:t>离退休人员</w:t>
      </w:r>
      <w:r>
        <w:rPr>
          <w:rFonts w:hint="eastAsia" w:ascii="仿宋" w:hAnsi="仿宋" w:eastAsia="仿宋" w:cs="仿宋"/>
          <w:bCs/>
          <w:kern w:val="44"/>
          <w:sz w:val="32"/>
          <w:szCs w:val="32"/>
          <w:highlight w:val="none"/>
          <w:u w:val="none"/>
          <w:lang w:val="en-US" w:eastAsia="zh-CN"/>
        </w:rPr>
        <w:t>69</w:t>
      </w:r>
      <w:r>
        <w:rPr>
          <w:rFonts w:hint="eastAsia" w:ascii="仿宋" w:hAnsi="仿宋" w:eastAsia="仿宋" w:cs="仿宋"/>
          <w:bCs/>
          <w:sz w:val="32"/>
          <w:szCs w:val="32"/>
          <w:highlight w:val="none"/>
          <w:u w:val="none"/>
        </w:rPr>
        <w:t>人，</w:t>
      </w:r>
      <w:r>
        <w:rPr>
          <w:rFonts w:hint="eastAsia" w:ascii="仿宋" w:hAnsi="仿宋" w:eastAsia="仿宋" w:cs="仿宋"/>
          <w:bCs/>
          <w:sz w:val="32"/>
          <w:szCs w:val="32"/>
          <w:highlight w:val="none"/>
          <w:u w:val="none"/>
          <w:lang w:val="en-US" w:eastAsia="zh-CN"/>
        </w:rPr>
        <w:t>其中：离休2人，</w:t>
      </w:r>
      <w:r>
        <w:rPr>
          <w:rFonts w:hint="eastAsia" w:ascii="仿宋" w:hAnsi="仿宋" w:eastAsia="仿宋" w:cs="仿宋"/>
          <w:bCs/>
          <w:sz w:val="32"/>
          <w:szCs w:val="32"/>
          <w:highlight w:val="none"/>
          <w:u w:val="none"/>
          <w:lang w:eastAsia="zh-CN"/>
        </w:rPr>
        <w:t>退休</w:t>
      </w:r>
      <w:r>
        <w:rPr>
          <w:rFonts w:hint="eastAsia" w:ascii="仿宋" w:hAnsi="仿宋" w:eastAsia="仿宋" w:cs="仿宋"/>
          <w:bCs/>
          <w:sz w:val="32"/>
          <w:szCs w:val="32"/>
          <w:highlight w:val="none"/>
          <w:u w:val="none"/>
          <w:lang w:val="en-US" w:eastAsia="zh-CN"/>
        </w:rPr>
        <w:t>67</w:t>
      </w:r>
      <w:r>
        <w:rPr>
          <w:rFonts w:hint="eastAsia" w:ascii="仿宋" w:hAnsi="仿宋" w:eastAsia="仿宋" w:cs="仿宋"/>
          <w:bCs/>
          <w:sz w:val="32"/>
          <w:szCs w:val="32"/>
          <w:highlight w:val="none"/>
          <w:u w:val="none"/>
          <w:lang w:eastAsia="zh-CN"/>
        </w:rPr>
        <w:t>人</w:t>
      </w:r>
      <w:r>
        <w:rPr>
          <w:rFonts w:hint="eastAsia" w:ascii="仿宋" w:hAnsi="仿宋" w:eastAsia="仿宋" w:cs="仿宋"/>
          <w:bCs/>
          <w:sz w:val="32"/>
          <w:szCs w:val="32"/>
          <w:highlight w:val="none"/>
          <w:u w:val="none"/>
        </w:rPr>
        <w:t>。</w:t>
      </w:r>
    </w:p>
    <w:p>
      <w:pPr>
        <w:rPr>
          <w:highlight w:val="none"/>
        </w:rPr>
        <w:sectPr>
          <w:pgSz w:w="11906" w:h="16838"/>
          <w:pgMar w:top="1440" w:right="1803" w:bottom="1440" w:left="1803" w:header="851" w:footer="992" w:gutter="0"/>
          <w:cols w:space="720" w:num="1"/>
          <w:docGrid w:type="lines" w:linePitch="319" w:charSpace="0"/>
        </w:sectPr>
      </w:pPr>
    </w:p>
    <w:p>
      <w:pPr>
        <w:adjustRightInd w:val="0"/>
        <w:snapToGrid w:val="0"/>
        <w:spacing w:line="360" w:lineRule="auto"/>
        <w:jc w:val="center"/>
        <w:rPr>
          <w:rFonts w:hint="eastAsia" w:ascii="黑体" w:eastAsia="黑体"/>
          <w:kern w:val="44"/>
          <w:sz w:val="32"/>
          <w:szCs w:val="32"/>
        </w:rPr>
      </w:pPr>
      <w:r>
        <w:rPr>
          <w:rFonts w:hint="eastAsia" w:ascii="黑体" w:hAnsi="宋体" w:eastAsia="黑体"/>
          <w:bCs/>
          <w:sz w:val="32"/>
          <w:szCs w:val="32"/>
        </w:rPr>
        <w:t xml:space="preserve">第二部分  </w:t>
      </w:r>
      <w:r>
        <w:rPr>
          <w:rFonts w:hint="eastAsia" w:ascii="黑体" w:hAnsi="宋体" w:eastAsia="黑体"/>
          <w:bCs/>
          <w:sz w:val="32"/>
          <w:szCs w:val="32"/>
          <w:u w:val="none"/>
          <w:lang w:eastAsia="zh-CN"/>
        </w:rPr>
        <w:t>武汉市江夏区人大常委会办公室</w:t>
      </w:r>
      <w:r>
        <w:rPr>
          <w:rFonts w:hint="eastAsia" w:ascii="黑体" w:eastAsia="黑体"/>
          <w:kern w:val="44"/>
          <w:sz w:val="32"/>
          <w:szCs w:val="32"/>
          <w:lang w:eastAsia="zh-CN"/>
        </w:rPr>
        <w:t>2021</w:t>
      </w:r>
      <w:r>
        <w:rPr>
          <w:rFonts w:hint="eastAsia" w:ascii="黑体" w:eastAsia="黑体"/>
          <w:kern w:val="44"/>
          <w:sz w:val="32"/>
          <w:szCs w:val="32"/>
        </w:rPr>
        <w:t>年度部门决算表</w:t>
      </w:r>
    </w:p>
    <w:p>
      <w:pPr>
        <w:adjustRightInd w:val="0"/>
        <w:snapToGrid w:val="0"/>
        <w:spacing w:line="360" w:lineRule="auto"/>
        <w:jc w:val="center"/>
        <w:rPr>
          <w:rFonts w:hint="eastAsia" w:eastAsia="宋体"/>
          <w:lang w:eastAsia="zh-CN"/>
        </w:rPr>
      </w:pPr>
      <w:r>
        <w:rPr>
          <w:rFonts w:hint="eastAsia" w:eastAsia="宋体"/>
          <w:lang w:eastAsia="zh-CN"/>
        </w:rPr>
        <w:drawing>
          <wp:inline distT="0" distB="0" distL="114300" distR="114300">
            <wp:extent cx="7417435" cy="4465955"/>
            <wp:effectExtent l="0" t="0" r="12065" b="10795"/>
            <wp:docPr id="7" name="图片 1" descr="1662617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662617740(1)"/>
                    <pic:cNvPicPr>
                      <a:picLocks noChangeAspect="1"/>
                    </pic:cNvPicPr>
                  </pic:nvPicPr>
                  <pic:blipFill>
                    <a:blip r:embed="rId14"/>
                    <a:stretch>
                      <a:fillRect/>
                    </a:stretch>
                  </pic:blipFill>
                  <pic:spPr>
                    <a:xfrm>
                      <a:off x="0" y="0"/>
                      <a:ext cx="7417435" cy="4465955"/>
                    </a:xfrm>
                    <a:prstGeom prst="rect">
                      <a:avLst/>
                    </a:prstGeom>
                    <a:noFill/>
                    <a:ln>
                      <a:noFill/>
                    </a:ln>
                  </pic:spPr>
                </pic:pic>
              </a:graphicData>
            </a:graphic>
          </wp:inline>
        </w:drawing>
      </w:r>
    </w:p>
    <w:p>
      <w:pPr>
        <w:adjustRightInd w:val="0"/>
        <w:snapToGrid w:val="0"/>
        <w:spacing w:line="360" w:lineRule="auto"/>
        <w:jc w:val="center"/>
        <w:rPr>
          <w:rFonts w:hint="eastAsia" w:eastAsia="宋体"/>
          <w:lang w:val="en-US" w:eastAsia="zh-CN"/>
        </w:rPr>
      </w:pPr>
      <w:r>
        <w:rPr>
          <w:rFonts w:ascii="仿宋_GB2312" w:eastAsia="仿宋_GB2312"/>
        </w:rPr>
        <w:br w:type="page"/>
      </w:r>
      <w:r>
        <w:drawing>
          <wp:inline distT="0" distB="0" distL="114300" distR="114300">
            <wp:extent cx="8863330" cy="5314950"/>
            <wp:effectExtent l="0" t="0" r="1397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8863330" cy="5314950"/>
                    </a:xfrm>
                    <a:prstGeom prst="rect">
                      <a:avLst/>
                    </a:prstGeom>
                    <a:noFill/>
                    <a:ln>
                      <a:noFill/>
                    </a:ln>
                  </pic:spPr>
                </pic:pic>
              </a:graphicData>
            </a:graphic>
          </wp:inline>
        </w:drawing>
      </w:r>
    </w:p>
    <w:p>
      <w:pPr>
        <w:adjustRightInd w:val="0"/>
        <w:snapToGrid w:val="0"/>
        <w:spacing w:line="360" w:lineRule="auto"/>
        <w:jc w:val="center"/>
      </w:pPr>
      <w:r>
        <w:drawing>
          <wp:inline distT="0" distB="0" distL="114300" distR="114300">
            <wp:extent cx="7506970" cy="5017135"/>
            <wp:effectExtent l="0" t="0" r="1778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7506970" cy="5017135"/>
                    </a:xfrm>
                    <a:prstGeom prst="rect">
                      <a:avLst/>
                    </a:prstGeom>
                    <a:noFill/>
                    <a:ln>
                      <a:noFill/>
                    </a:ln>
                  </pic:spPr>
                </pic:pic>
              </a:graphicData>
            </a:graphic>
          </wp:inline>
        </w:drawing>
      </w:r>
    </w:p>
    <w:p>
      <w:pPr>
        <w:adjustRightInd w:val="0"/>
        <w:snapToGrid w:val="0"/>
        <w:spacing w:line="360" w:lineRule="auto"/>
        <w:jc w:val="both"/>
      </w:pPr>
    </w:p>
    <w:p>
      <w:pPr>
        <w:adjustRightInd w:val="0"/>
        <w:snapToGrid w:val="0"/>
        <w:spacing w:line="360" w:lineRule="auto"/>
        <w:jc w:val="center"/>
      </w:pPr>
    </w:p>
    <w:p>
      <w:pPr>
        <w:adjustRightInd w:val="0"/>
        <w:snapToGrid w:val="0"/>
        <w:spacing w:line="360" w:lineRule="auto"/>
        <w:jc w:val="center"/>
      </w:pPr>
    </w:p>
    <w:p>
      <w:pPr>
        <w:adjustRightInd w:val="0"/>
        <w:snapToGrid w:val="0"/>
        <w:spacing w:line="360" w:lineRule="auto"/>
        <w:jc w:val="center"/>
        <w:rPr>
          <w:rFonts w:hint="eastAsia"/>
        </w:rPr>
      </w:pPr>
      <w:r>
        <w:drawing>
          <wp:inline distT="0" distB="0" distL="114300" distR="114300">
            <wp:extent cx="7910195" cy="4568825"/>
            <wp:effectExtent l="0" t="0" r="1460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7"/>
                    <a:stretch>
                      <a:fillRect/>
                    </a:stretch>
                  </pic:blipFill>
                  <pic:spPr>
                    <a:xfrm>
                      <a:off x="0" y="0"/>
                      <a:ext cx="7910195" cy="4568825"/>
                    </a:xfrm>
                    <a:prstGeom prst="rect">
                      <a:avLst/>
                    </a:prstGeom>
                    <a:noFill/>
                    <a:ln>
                      <a:noFill/>
                    </a:ln>
                  </pic:spPr>
                </pic:pic>
              </a:graphicData>
            </a:graphic>
          </wp:inline>
        </w:drawing>
      </w:r>
    </w:p>
    <w:p>
      <w:pPr>
        <w:snapToGrid w:val="0"/>
        <w:spacing w:line="600" w:lineRule="atLeast"/>
        <w:ind w:right="24"/>
        <w:jc w:val="center"/>
        <w:rPr>
          <w:rFonts w:hint="eastAsia"/>
        </w:rPr>
      </w:pPr>
      <w:r>
        <w:drawing>
          <wp:inline distT="0" distB="0" distL="114300" distR="114300">
            <wp:extent cx="7798435" cy="4870450"/>
            <wp:effectExtent l="0" t="0" r="12065" b="635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7798435" cy="4870450"/>
                    </a:xfrm>
                    <a:prstGeom prst="rect">
                      <a:avLst/>
                    </a:prstGeom>
                    <a:noFill/>
                    <a:ln>
                      <a:noFill/>
                    </a:ln>
                  </pic:spPr>
                </pic:pic>
              </a:graphicData>
            </a:graphic>
          </wp:inline>
        </w:drawing>
      </w:r>
    </w:p>
    <w:p>
      <w:pPr>
        <w:snapToGrid w:val="0"/>
        <w:spacing w:line="600" w:lineRule="atLeast"/>
        <w:ind w:right="24"/>
        <w:jc w:val="center"/>
        <w:rPr>
          <w:rFonts w:hint="eastAsia"/>
        </w:rPr>
      </w:pPr>
    </w:p>
    <w:p>
      <w:pPr>
        <w:snapToGrid w:val="0"/>
        <w:spacing w:line="600" w:lineRule="atLeast"/>
        <w:ind w:right="24"/>
        <w:jc w:val="center"/>
        <w:rPr>
          <w:rFonts w:hint="eastAsia"/>
        </w:rPr>
      </w:pPr>
      <w:r>
        <w:drawing>
          <wp:inline distT="0" distB="0" distL="114300" distR="114300">
            <wp:extent cx="7665085" cy="4497705"/>
            <wp:effectExtent l="0" t="0" r="12065" b="1714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9"/>
                    <a:stretch>
                      <a:fillRect/>
                    </a:stretch>
                  </pic:blipFill>
                  <pic:spPr>
                    <a:xfrm>
                      <a:off x="0" y="0"/>
                      <a:ext cx="7665085" cy="4497705"/>
                    </a:xfrm>
                    <a:prstGeom prst="rect">
                      <a:avLst/>
                    </a:prstGeom>
                    <a:noFill/>
                    <a:ln>
                      <a:noFill/>
                    </a:ln>
                  </pic:spPr>
                </pic:pic>
              </a:graphicData>
            </a:graphic>
          </wp:inline>
        </w:drawing>
      </w:r>
    </w:p>
    <w:p>
      <w:pPr>
        <w:snapToGrid w:val="0"/>
        <w:spacing w:line="600" w:lineRule="atLeast"/>
        <w:ind w:right="24"/>
        <w:jc w:val="center"/>
        <w:rPr>
          <w:rFonts w:hint="eastAsia"/>
        </w:rPr>
      </w:pPr>
    </w:p>
    <w:p>
      <w:pPr>
        <w:snapToGrid w:val="0"/>
        <w:spacing w:line="600" w:lineRule="atLeast"/>
        <w:ind w:right="24"/>
        <w:jc w:val="center"/>
        <w:rPr>
          <w:rFonts w:hint="eastAsia"/>
        </w:rPr>
      </w:pPr>
    </w:p>
    <w:p>
      <w:pPr>
        <w:snapToGrid w:val="0"/>
        <w:spacing w:line="600" w:lineRule="atLeast"/>
        <w:ind w:right="24"/>
        <w:jc w:val="center"/>
        <w:rPr>
          <w:rFonts w:hint="eastAsia"/>
        </w:rPr>
      </w:pPr>
    </w:p>
    <w:p>
      <w:pPr>
        <w:snapToGrid w:val="0"/>
        <w:spacing w:line="600" w:lineRule="atLeast"/>
        <w:ind w:right="24"/>
        <w:jc w:val="center"/>
        <w:rPr>
          <w:rFonts w:hint="eastAsia"/>
        </w:rPr>
      </w:pPr>
      <w:r>
        <w:drawing>
          <wp:inline distT="0" distB="0" distL="114300" distR="114300">
            <wp:extent cx="8860790" cy="1750060"/>
            <wp:effectExtent l="0" t="0" r="16510" b="254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0"/>
                    <a:stretch>
                      <a:fillRect/>
                    </a:stretch>
                  </pic:blipFill>
                  <pic:spPr>
                    <a:xfrm>
                      <a:off x="0" y="0"/>
                      <a:ext cx="8860790" cy="1750060"/>
                    </a:xfrm>
                    <a:prstGeom prst="rect">
                      <a:avLst/>
                    </a:prstGeom>
                    <a:noFill/>
                    <a:ln>
                      <a:noFill/>
                    </a:ln>
                  </pic:spPr>
                </pic:pic>
              </a:graphicData>
            </a:graphic>
          </wp:inline>
        </w:drawing>
      </w:r>
    </w:p>
    <w:p>
      <w:pPr>
        <w:snapToGrid w:val="0"/>
        <w:spacing w:line="600" w:lineRule="atLeast"/>
        <w:ind w:right="24"/>
        <w:jc w:val="center"/>
        <w:rPr>
          <w:rFonts w:hint="eastAsia"/>
        </w:rPr>
      </w:pPr>
    </w:p>
    <w:p>
      <w:pPr>
        <w:snapToGrid w:val="0"/>
        <w:spacing w:line="600" w:lineRule="atLeast"/>
        <w:ind w:right="24"/>
        <w:jc w:val="center"/>
        <w:rPr>
          <w:rFonts w:hint="eastAsia"/>
        </w:rPr>
      </w:pPr>
    </w:p>
    <w:p>
      <w:pPr>
        <w:snapToGrid w:val="0"/>
        <w:spacing w:line="600" w:lineRule="atLeast"/>
        <w:ind w:right="24"/>
        <w:jc w:val="center"/>
        <w:rPr>
          <w:rFonts w:hint="eastAsia"/>
        </w:rPr>
      </w:pPr>
    </w:p>
    <w:p>
      <w:pPr>
        <w:snapToGrid w:val="0"/>
        <w:spacing w:line="600" w:lineRule="atLeast"/>
        <w:ind w:right="24"/>
        <w:jc w:val="center"/>
        <w:rPr>
          <w:rFonts w:hint="eastAsia"/>
        </w:rPr>
      </w:pPr>
    </w:p>
    <w:p>
      <w:pPr>
        <w:snapToGrid w:val="0"/>
        <w:spacing w:line="600" w:lineRule="atLeast"/>
        <w:ind w:right="24"/>
        <w:jc w:val="center"/>
      </w:pPr>
    </w:p>
    <w:p>
      <w:pPr>
        <w:snapToGrid w:val="0"/>
        <w:spacing w:line="600" w:lineRule="atLeast"/>
        <w:ind w:right="24"/>
        <w:jc w:val="center"/>
        <w:sectPr>
          <w:headerReference r:id="rId9" w:type="default"/>
          <w:footerReference r:id="rId10" w:type="default"/>
          <w:pgSz w:w="16838" w:h="11906" w:orient="landscape"/>
          <w:pgMar w:top="1803" w:right="1440" w:bottom="1803" w:left="1440" w:header="851" w:footer="992" w:gutter="0"/>
          <w:cols w:space="720" w:num="1"/>
          <w:docGrid w:type="lines" w:linePitch="319" w:charSpace="0"/>
        </w:sectPr>
      </w:pPr>
    </w:p>
    <w:p>
      <w:pPr>
        <w:adjustRightInd w:val="0"/>
        <w:snapToGrid w:val="0"/>
        <w:spacing w:line="560" w:lineRule="atLeast"/>
        <w:jc w:val="center"/>
      </w:pPr>
      <w:r>
        <w:drawing>
          <wp:inline distT="0" distB="0" distL="114300" distR="114300">
            <wp:extent cx="8857615" cy="3017520"/>
            <wp:effectExtent l="0" t="0" r="6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1"/>
                    <a:stretch>
                      <a:fillRect/>
                    </a:stretch>
                  </pic:blipFill>
                  <pic:spPr>
                    <a:xfrm>
                      <a:off x="0" y="0"/>
                      <a:ext cx="8857615" cy="3017520"/>
                    </a:xfrm>
                    <a:prstGeom prst="rect">
                      <a:avLst/>
                    </a:prstGeom>
                    <a:noFill/>
                    <a:ln>
                      <a:noFill/>
                    </a:ln>
                  </pic:spPr>
                </pic:pic>
              </a:graphicData>
            </a:graphic>
          </wp:inline>
        </w:drawing>
      </w:r>
    </w:p>
    <w:p>
      <w:pPr>
        <w:adjustRightInd w:val="0"/>
        <w:snapToGrid w:val="0"/>
        <w:spacing w:line="560" w:lineRule="atLeast"/>
      </w:pPr>
    </w:p>
    <w:p>
      <w:pPr>
        <w:adjustRightInd w:val="0"/>
        <w:snapToGrid w:val="0"/>
        <w:spacing w:line="560" w:lineRule="atLeast"/>
      </w:pPr>
    </w:p>
    <w:p>
      <w:pPr>
        <w:adjustRightInd w:val="0"/>
        <w:snapToGrid w:val="0"/>
        <w:spacing w:line="560" w:lineRule="atLeast"/>
        <w:rPr>
          <w:rFonts w:hint="eastAsia"/>
        </w:rPr>
      </w:pPr>
    </w:p>
    <w:p>
      <w:pPr>
        <w:adjustRightInd w:val="0"/>
        <w:snapToGrid w:val="0"/>
        <w:spacing w:line="560" w:lineRule="atLeast"/>
        <w:rPr>
          <w:rFonts w:hint="eastAsia"/>
        </w:rPr>
      </w:pPr>
    </w:p>
    <w:p>
      <w:pPr>
        <w:adjustRightInd w:val="0"/>
        <w:snapToGrid w:val="0"/>
        <w:spacing w:line="560" w:lineRule="atLeast"/>
        <w:rPr>
          <w:rFonts w:hint="eastAsia"/>
        </w:rPr>
      </w:pPr>
    </w:p>
    <w:p>
      <w:pPr>
        <w:adjustRightInd w:val="0"/>
        <w:snapToGrid w:val="0"/>
        <w:spacing w:line="560" w:lineRule="atLeast"/>
        <w:rPr>
          <w:rFonts w:hint="eastAsia"/>
        </w:rPr>
      </w:pPr>
    </w:p>
    <w:p>
      <w:pPr>
        <w:jc w:val="center"/>
      </w:pPr>
      <w:r>
        <w:drawing>
          <wp:inline distT="0" distB="0" distL="114300" distR="114300">
            <wp:extent cx="7825740" cy="3248025"/>
            <wp:effectExtent l="0" t="0" r="38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7825740" cy="3248025"/>
                    </a:xfrm>
                    <a:prstGeom prst="rect">
                      <a:avLst/>
                    </a:prstGeom>
                    <a:noFill/>
                    <a:ln>
                      <a:noFill/>
                    </a:ln>
                  </pic:spPr>
                </pic:pic>
              </a:graphicData>
            </a:graphic>
          </wp:inline>
        </w:drawing>
      </w:r>
    </w:p>
    <w:p>
      <w:pPr>
        <w:jc w:val="center"/>
        <w:sectPr>
          <w:pgSz w:w="16838" w:h="11906" w:orient="landscape"/>
          <w:pgMar w:top="1803" w:right="1440" w:bottom="1803" w:left="1440" w:header="851" w:footer="992" w:gutter="0"/>
          <w:cols w:space="720" w:num="1"/>
          <w:docGrid w:type="lines" w:linePitch="319" w:charSpace="0"/>
        </w:sectPr>
      </w:pPr>
    </w:p>
    <w:p>
      <w:pPr>
        <w:adjustRightInd w:val="0"/>
        <w:snapToGrid w:val="0"/>
        <w:spacing w:line="360" w:lineRule="auto"/>
        <w:jc w:val="center"/>
        <w:rPr>
          <w:rFonts w:hint="eastAsia" w:ascii="黑体" w:eastAsia="黑体"/>
          <w:kern w:val="44"/>
          <w:sz w:val="32"/>
          <w:szCs w:val="32"/>
        </w:rPr>
      </w:pPr>
      <w:r>
        <w:rPr>
          <w:rFonts w:hint="eastAsia" w:ascii="黑体" w:hAnsi="宋体" w:eastAsia="黑体"/>
          <w:bCs/>
          <w:sz w:val="32"/>
          <w:szCs w:val="32"/>
        </w:rPr>
        <w:t>第三部分</w:t>
      </w:r>
      <w:r>
        <w:rPr>
          <w:rFonts w:hint="eastAsia" w:ascii="黑体" w:hAnsi="宋体" w:eastAsia="黑体"/>
          <w:bCs/>
          <w:sz w:val="32"/>
          <w:szCs w:val="32"/>
          <w:lang w:val="en-US" w:eastAsia="zh-CN"/>
        </w:rPr>
        <w:t xml:space="preserve">  </w:t>
      </w:r>
      <w:r>
        <w:rPr>
          <w:rFonts w:hint="eastAsia" w:ascii="黑体" w:hAnsi="宋体" w:eastAsia="黑体"/>
          <w:bCs/>
          <w:sz w:val="32"/>
          <w:szCs w:val="32"/>
          <w:lang w:eastAsia="zh-CN"/>
        </w:rPr>
        <w:t>武汉市江夏区人大常委会办公室</w:t>
      </w:r>
      <w:r>
        <w:rPr>
          <w:rFonts w:hint="eastAsia" w:ascii="黑体" w:eastAsia="黑体"/>
          <w:kern w:val="44"/>
          <w:sz w:val="32"/>
          <w:szCs w:val="32"/>
          <w:lang w:eastAsia="zh-CN"/>
        </w:rPr>
        <w:t>2021</w:t>
      </w:r>
      <w:r>
        <w:rPr>
          <w:rFonts w:hint="eastAsia" w:ascii="黑体" w:eastAsia="黑体"/>
          <w:kern w:val="44"/>
          <w:sz w:val="32"/>
          <w:szCs w:val="32"/>
        </w:rPr>
        <w:t>年度部门决算情况说明</w:t>
      </w:r>
    </w:p>
    <w:p>
      <w:pPr>
        <w:adjustRightInd w:val="0"/>
        <w:snapToGrid w:val="0"/>
        <w:spacing w:line="560" w:lineRule="atLeast"/>
        <w:ind w:firstLine="643" w:firstLineChars="200"/>
        <w:rPr>
          <w:rFonts w:hint="eastAsia" w:ascii="仿宋" w:hAnsi="仿宋" w:eastAsia="仿宋" w:cs="仿宋"/>
          <w:b/>
          <w:bCs/>
          <w:kern w:val="44"/>
          <w:sz w:val="32"/>
          <w:szCs w:val="32"/>
        </w:rPr>
      </w:pPr>
      <w:r>
        <w:rPr>
          <w:rFonts w:hint="eastAsia" w:ascii="仿宋" w:hAnsi="仿宋" w:eastAsia="仿宋" w:cs="仿宋"/>
          <w:b/>
          <w:bCs/>
          <w:kern w:val="44"/>
          <w:sz w:val="32"/>
          <w:szCs w:val="32"/>
        </w:rPr>
        <w:t>一、</w:t>
      </w:r>
      <w:r>
        <w:rPr>
          <w:rFonts w:hint="eastAsia" w:ascii="仿宋" w:hAnsi="仿宋" w:eastAsia="仿宋" w:cs="仿宋"/>
          <w:b/>
          <w:bCs/>
          <w:kern w:val="44"/>
          <w:sz w:val="32"/>
          <w:szCs w:val="32"/>
          <w:lang w:eastAsia="zh-CN"/>
        </w:rPr>
        <w:t>2021</w:t>
      </w:r>
      <w:r>
        <w:rPr>
          <w:rFonts w:hint="eastAsia" w:ascii="仿宋" w:hAnsi="仿宋" w:eastAsia="仿宋" w:cs="仿宋"/>
          <w:b/>
          <w:bCs/>
          <w:kern w:val="44"/>
          <w:sz w:val="32"/>
          <w:szCs w:val="32"/>
        </w:rPr>
        <w:t>年度收入支出决算总体情况说明</w:t>
      </w:r>
    </w:p>
    <w:p>
      <w:pPr>
        <w:adjustRightInd w:val="0"/>
        <w:snapToGrid w:val="0"/>
        <w:spacing w:line="560" w:lineRule="atLeast"/>
        <w:ind w:firstLine="640" w:firstLineChars="200"/>
        <w:rPr>
          <w:rFonts w:hint="default" w:ascii="仿宋" w:hAnsi="仿宋" w:eastAsia="仿宋" w:cs="仿宋"/>
          <w:bCs/>
          <w:kern w:val="44"/>
          <w:sz w:val="32"/>
          <w:szCs w:val="32"/>
          <w:highlight w:val="none"/>
          <w:u w:val="none"/>
          <w:lang w:val="en-US" w:eastAsia="zh-CN"/>
        </w:rPr>
      </w:pPr>
      <w:r>
        <w:rPr>
          <w:rFonts w:hint="eastAsia" w:ascii="仿宋" w:hAnsi="仿宋" w:eastAsia="仿宋" w:cs="仿宋"/>
          <w:bCs/>
          <w:sz w:val="32"/>
          <w:szCs w:val="32"/>
          <w:highlight w:val="none"/>
          <w:u w:val="none"/>
          <w:lang w:eastAsia="zh-CN"/>
        </w:rPr>
        <w:t>武汉市江夏区人大常委会办公室</w:t>
      </w:r>
      <w:r>
        <w:rPr>
          <w:rFonts w:hint="eastAsia" w:ascii="仿宋" w:hAnsi="仿宋" w:eastAsia="仿宋" w:cs="仿宋"/>
          <w:bCs/>
          <w:kern w:val="44"/>
          <w:sz w:val="32"/>
          <w:szCs w:val="32"/>
          <w:highlight w:val="none"/>
          <w:u w:val="none"/>
          <w:lang w:eastAsia="zh-CN"/>
        </w:rPr>
        <w:t>2021</w:t>
      </w:r>
      <w:r>
        <w:rPr>
          <w:rFonts w:hint="eastAsia" w:ascii="仿宋" w:hAnsi="仿宋" w:eastAsia="仿宋" w:cs="仿宋"/>
          <w:bCs/>
          <w:kern w:val="44"/>
          <w:sz w:val="32"/>
          <w:szCs w:val="32"/>
          <w:highlight w:val="none"/>
          <w:u w:val="none"/>
        </w:rPr>
        <w:t>年度收入总计</w:t>
      </w:r>
      <w:r>
        <w:rPr>
          <w:rFonts w:hint="eastAsia" w:ascii="仿宋" w:hAnsi="仿宋" w:eastAsia="仿宋" w:cs="仿宋"/>
          <w:bCs/>
          <w:kern w:val="44"/>
          <w:sz w:val="32"/>
          <w:szCs w:val="32"/>
          <w:highlight w:val="none"/>
          <w:u w:val="none"/>
          <w:lang w:val="en-US" w:eastAsia="zh-CN"/>
        </w:rPr>
        <w:t>2340.79</w:t>
      </w:r>
      <w:r>
        <w:rPr>
          <w:rFonts w:hint="eastAsia" w:ascii="仿宋" w:hAnsi="仿宋" w:eastAsia="仿宋" w:cs="仿宋"/>
          <w:bCs/>
          <w:kern w:val="44"/>
          <w:sz w:val="32"/>
          <w:szCs w:val="32"/>
          <w:highlight w:val="none"/>
          <w:u w:val="none"/>
        </w:rPr>
        <w:t>万元（含年初结转和结余</w:t>
      </w:r>
      <w:r>
        <w:rPr>
          <w:rFonts w:hint="eastAsia" w:ascii="仿宋" w:hAnsi="仿宋" w:eastAsia="仿宋" w:cs="仿宋"/>
          <w:bCs/>
          <w:kern w:val="44"/>
          <w:sz w:val="32"/>
          <w:szCs w:val="32"/>
          <w:highlight w:val="none"/>
          <w:u w:val="none"/>
          <w:lang w:val="en-US" w:eastAsia="zh-CN"/>
        </w:rPr>
        <w:t>5.26</w:t>
      </w:r>
      <w:r>
        <w:rPr>
          <w:rFonts w:hint="eastAsia" w:ascii="仿宋" w:hAnsi="仿宋" w:eastAsia="仿宋" w:cs="仿宋"/>
          <w:bCs/>
          <w:kern w:val="44"/>
          <w:sz w:val="32"/>
          <w:szCs w:val="32"/>
          <w:highlight w:val="none"/>
          <w:u w:val="none"/>
        </w:rPr>
        <w:t>万元），支出总计</w:t>
      </w:r>
      <w:r>
        <w:rPr>
          <w:rFonts w:hint="eastAsia" w:ascii="仿宋" w:hAnsi="仿宋" w:eastAsia="仿宋" w:cs="仿宋"/>
          <w:bCs/>
          <w:kern w:val="44"/>
          <w:sz w:val="32"/>
          <w:szCs w:val="32"/>
          <w:highlight w:val="none"/>
          <w:u w:val="none"/>
          <w:lang w:val="en-US" w:eastAsia="zh-CN"/>
        </w:rPr>
        <w:t>2340.79</w:t>
      </w:r>
      <w:r>
        <w:rPr>
          <w:rFonts w:hint="eastAsia" w:ascii="仿宋" w:hAnsi="仿宋" w:eastAsia="仿宋" w:cs="仿宋"/>
          <w:bCs/>
          <w:kern w:val="44"/>
          <w:sz w:val="32"/>
          <w:szCs w:val="32"/>
          <w:highlight w:val="none"/>
          <w:u w:val="none"/>
        </w:rPr>
        <w:t>万元（含年末结转和结余</w:t>
      </w:r>
      <w:r>
        <w:rPr>
          <w:rFonts w:hint="eastAsia" w:ascii="仿宋" w:hAnsi="仿宋" w:eastAsia="仿宋" w:cs="仿宋"/>
          <w:bCs/>
          <w:kern w:val="44"/>
          <w:sz w:val="32"/>
          <w:szCs w:val="32"/>
          <w:highlight w:val="none"/>
          <w:u w:val="none"/>
          <w:lang w:val="en-US" w:eastAsia="zh-CN"/>
        </w:rPr>
        <w:t>9.18</w:t>
      </w:r>
      <w:r>
        <w:rPr>
          <w:rFonts w:hint="eastAsia" w:ascii="仿宋" w:hAnsi="仿宋" w:eastAsia="仿宋" w:cs="仿宋"/>
          <w:bCs/>
          <w:kern w:val="44"/>
          <w:sz w:val="32"/>
          <w:szCs w:val="32"/>
          <w:highlight w:val="none"/>
          <w:u w:val="none"/>
        </w:rPr>
        <w:t>万元），与去年相比，收、支</w:t>
      </w:r>
      <w:r>
        <w:rPr>
          <w:rFonts w:hint="eastAsia" w:ascii="仿宋" w:hAnsi="仿宋" w:eastAsia="仿宋" w:cs="仿宋"/>
          <w:bCs/>
          <w:kern w:val="44"/>
          <w:sz w:val="32"/>
          <w:szCs w:val="32"/>
          <w:highlight w:val="none"/>
          <w:u w:val="none"/>
          <w:lang w:val="en-US" w:eastAsia="zh-CN"/>
        </w:rPr>
        <w:t>减少420.83</w:t>
      </w:r>
      <w:r>
        <w:rPr>
          <w:rFonts w:hint="eastAsia" w:ascii="仿宋" w:hAnsi="仿宋" w:eastAsia="仿宋" w:cs="仿宋"/>
          <w:bCs/>
          <w:kern w:val="44"/>
          <w:sz w:val="32"/>
          <w:szCs w:val="32"/>
          <w:highlight w:val="none"/>
          <w:u w:val="none"/>
        </w:rPr>
        <w:t>万元，</w:t>
      </w:r>
      <w:r>
        <w:rPr>
          <w:rFonts w:hint="eastAsia" w:ascii="仿宋" w:hAnsi="仿宋" w:eastAsia="仿宋" w:cs="仿宋"/>
          <w:bCs/>
          <w:kern w:val="44"/>
          <w:sz w:val="32"/>
          <w:szCs w:val="32"/>
          <w:highlight w:val="none"/>
          <w:u w:val="none"/>
          <w:lang w:val="en-US" w:eastAsia="zh-CN"/>
        </w:rPr>
        <w:t>减少15.24</w:t>
      </w:r>
      <w:r>
        <w:rPr>
          <w:rFonts w:hint="eastAsia" w:ascii="仿宋" w:hAnsi="仿宋" w:eastAsia="仿宋" w:cs="仿宋"/>
          <w:bCs/>
          <w:kern w:val="44"/>
          <w:sz w:val="32"/>
          <w:szCs w:val="32"/>
          <w:highlight w:val="none"/>
          <w:u w:val="none"/>
        </w:rPr>
        <w:t>%，主要原因是</w:t>
      </w:r>
      <w:r>
        <w:rPr>
          <w:rFonts w:hint="eastAsia" w:ascii="仿宋" w:hAnsi="仿宋" w:eastAsia="仿宋" w:cs="仿宋"/>
          <w:bCs/>
          <w:kern w:val="44"/>
          <w:sz w:val="32"/>
          <w:szCs w:val="32"/>
          <w:highlight w:val="none"/>
          <w:u w:val="none"/>
          <w:lang w:val="en-US" w:eastAsia="zh-CN"/>
        </w:rPr>
        <w:t>2021年财政下发关于收回以前年度权责发生制列支资金的通知，导致我单位年末结转结余资金减少，导致总收支较2020年减少。</w:t>
      </w:r>
    </w:p>
    <w:p>
      <w:pPr>
        <w:adjustRightInd w:val="0"/>
        <w:snapToGrid w:val="0"/>
        <w:spacing w:line="580" w:lineRule="atLeast"/>
        <w:ind w:firstLine="640" w:firstLineChars="200"/>
        <w:rPr>
          <w:rFonts w:hint="eastAsia" w:ascii="仿宋_GB2312" w:eastAsia="仿宋_GB2312"/>
          <w:bCs/>
          <w:kern w:val="44"/>
          <w:sz w:val="32"/>
          <w:szCs w:val="32"/>
          <w:u w:val="none"/>
        </w:rPr>
      </w:pPr>
      <w:r>
        <w:rPr>
          <w:rFonts w:hint="eastAsia" w:ascii="仿宋_GB2312" w:eastAsia="仿宋_GB2312"/>
          <w:bCs/>
          <w:kern w:val="44"/>
          <w:sz w:val="32"/>
          <w:szCs w:val="32"/>
          <w:u w:val="none"/>
        </w:rPr>
        <w:t>图1：收、支决算总计变动情况</w:t>
      </w:r>
    </w:p>
    <w:p>
      <w:pPr>
        <w:adjustRightInd w:val="0"/>
        <w:snapToGrid w:val="0"/>
        <w:spacing w:line="560" w:lineRule="atLeast"/>
        <w:ind w:firstLine="420" w:firstLineChars="200"/>
        <w:jc w:val="center"/>
        <w:rPr>
          <w:rFonts w:hint="eastAsia" w:ascii="仿宋" w:hAnsi="仿宋" w:eastAsia="仿宋" w:cs="仿宋"/>
          <w:bCs/>
          <w:kern w:val="44"/>
          <w:sz w:val="32"/>
          <w:szCs w:val="32"/>
          <w:u w:val="none"/>
          <w:lang w:eastAsia="zh-CN"/>
        </w:rPr>
      </w:pPr>
      <w:r>
        <w:drawing>
          <wp:inline distT="0" distB="0" distL="114300" distR="114300">
            <wp:extent cx="3752850" cy="246697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3752850" cy="2466975"/>
                    </a:xfrm>
                    <a:prstGeom prst="rect">
                      <a:avLst/>
                    </a:prstGeom>
                    <a:noFill/>
                    <a:ln>
                      <a:noFill/>
                    </a:ln>
                  </pic:spPr>
                </pic:pic>
              </a:graphicData>
            </a:graphic>
          </wp:inline>
        </w:drawing>
      </w:r>
    </w:p>
    <w:p>
      <w:pPr>
        <w:pStyle w:val="8"/>
        <w:ind w:firstLine="643" w:firstLineChars="200"/>
        <w:jc w:val="both"/>
        <w:rPr>
          <w:rFonts w:hint="eastAsia" w:ascii="仿宋" w:hAnsi="仿宋" w:eastAsia="仿宋" w:cs="仿宋"/>
          <w:b/>
          <w:sz w:val="32"/>
          <w:szCs w:val="32"/>
          <w:u w:val="none"/>
        </w:rPr>
      </w:pPr>
      <w:r>
        <w:rPr>
          <w:rFonts w:hint="eastAsia" w:ascii="仿宋" w:hAnsi="仿宋" w:eastAsia="仿宋" w:cs="仿宋"/>
          <w:b/>
          <w:sz w:val="32"/>
          <w:szCs w:val="32"/>
          <w:u w:val="none"/>
        </w:rPr>
        <w:t>二、</w:t>
      </w:r>
      <w:r>
        <w:rPr>
          <w:rFonts w:hint="eastAsia" w:ascii="仿宋" w:hAnsi="仿宋" w:eastAsia="仿宋" w:cs="仿宋"/>
          <w:b/>
          <w:sz w:val="32"/>
          <w:szCs w:val="32"/>
          <w:u w:val="none"/>
          <w:lang w:eastAsia="zh-CN"/>
        </w:rPr>
        <w:t>2021</w:t>
      </w:r>
      <w:r>
        <w:rPr>
          <w:rFonts w:hint="eastAsia" w:ascii="仿宋" w:hAnsi="仿宋" w:eastAsia="仿宋" w:cs="仿宋"/>
          <w:b/>
          <w:sz w:val="32"/>
          <w:szCs w:val="32"/>
          <w:u w:val="none"/>
        </w:rPr>
        <w:t>年度收入决算情况说明</w:t>
      </w:r>
    </w:p>
    <w:p>
      <w:pPr>
        <w:adjustRightInd w:val="0"/>
        <w:snapToGrid w:val="0"/>
        <w:spacing w:line="560" w:lineRule="atLeast"/>
        <w:ind w:firstLine="640" w:firstLineChars="200"/>
        <w:rPr>
          <w:rFonts w:hint="eastAsia" w:ascii="仿宋" w:hAnsi="仿宋" w:eastAsia="仿宋" w:cs="仿宋"/>
          <w:bCs/>
          <w:kern w:val="44"/>
          <w:sz w:val="32"/>
          <w:szCs w:val="32"/>
          <w:u w:val="none"/>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年度本年收入合计</w:t>
      </w:r>
      <w:r>
        <w:rPr>
          <w:rFonts w:hint="eastAsia" w:ascii="仿宋" w:hAnsi="仿宋" w:eastAsia="仿宋" w:cs="仿宋"/>
          <w:bCs/>
          <w:kern w:val="44"/>
          <w:sz w:val="32"/>
          <w:szCs w:val="32"/>
          <w:u w:val="none"/>
          <w:lang w:val="en-US" w:eastAsia="zh-CN"/>
        </w:rPr>
        <w:t>2335.53</w:t>
      </w:r>
      <w:r>
        <w:rPr>
          <w:rFonts w:hint="eastAsia" w:ascii="仿宋" w:hAnsi="仿宋" w:eastAsia="仿宋" w:cs="仿宋"/>
          <w:bCs/>
          <w:kern w:val="44"/>
          <w:sz w:val="32"/>
          <w:szCs w:val="32"/>
          <w:u w:val="none"/>
        </w:rPr>
        <w:t>万元。其中：财政拨款收入（含政府性基金拨款）</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万元，占本年收入</w:t>
      </w:r>
      <w:r>
        <w:rPr>
          <w:rFonts w:hint="eastAsia" w:ascii="仿宋" w:hAnsi="仿宋" w:eastAsia="仿宋" w:cs="仿宋"/>
          <w:bCs/>
          <w:kern w:val="44"/>
          <w:sz w:val="32"/>
          <w:szCs w:val="32"/>
          <w:u w:val="none"/>
          <w:lang w:val="en-US" w:eastAsia="zh-CN"/>
        </w:rPr>
        <w:t>99.83%</w:t>
      </w:r>
      <w:r>
        <w:rPr>
          <w:rFonts w:hint="eastAsia" w:ascii="仿宋" w:hAnsi="仿宋" w:eastAsia="仿宋" w:cs="仿宋"/>
          <w:bCs/>
          <w:kern w:val="44"/>
          <w:sz w:val="32"/>
          <w:szCs w:val="32"/>
          <w:u w:val="none"/>
        </w:rPr>
        <w:t>，其他收入</w:t>
      </w:r>
      <w:r>
        <w:rPr>
          <w:rFonts w:hint="eastAsia" w:ascii="仿宋" w:hAnsi="仿宋" w:eastAsia="仿宋" w:cs="仿宋"/>
          <w:bCs/>
          <w:kern w:val="44"/>
          <w:sz w:val="32"/>
          <w:szCs w:val="32"/>
          <w:u w:val="none"/>
          <w:lang w:val="en-US" w:eastAsia="zh-CN"/>
        </w:rPr>
        <w:t>3.92</w:t>
      </w:r>
      <w:r>
        <w:rPr>
          <w:rFonts w:hint="eastAsia" w:ascii="仿宋" w:hAnsi="仿宋" w:eastAsia="仿宋" w:cs="仿宋"/>
          <w:bCs/>
          <w:kern w:val="44"/>
          <w:sz w:val="32"/>
          <w:szCs w:val="32"/>
          <w:u w:val="none"/>
        </w:rPr>
        <w:t>万元，占本年收入</w:t>
      </w:r>
      <w:r>
        <w:rPr>
          <w:rFonts w:hint="eastAsia" w:ascii="仿宋" w:hAnsi="仿宋" w:eastAsia="仿宋" w:cs="仿宋"/>
          <w:bCs/>
          <w:kern w:val="44"/>
          <w:sz w:val="32"/>
          <w:szCs w:val="32"/>
          <w:u w:val="none"/>
          <w:lang w:val="en-US" w:eastAsia="zh-CN"/>
        </w:rPr>
        <w:t>0.17</w:t>
      </w:r>
      <w:r>
        <w:rPr>
          <w:rFonts w:hint="eastAsia" w:ascii="仿宋" w:hAnsi="仿宋" w:eastAsia="仿宋" w:cs="仿宋"/>
          <w:bCs/>
          <w:kern w:val="44"/>
          <w:sz w:val="32"/>
          <w:szCs w:val="32"/>
          <w:u w:val="none"/>
        </w:rPr>
        <w:t>%。</w:t>
      </w:r>
    </w:p>
    <w:p>
      <w:pPr>
        <w:adjustRightInd w:val="0"/>
        <w:snapToGrid w:val="0"/>
        <w:spacing w:line="560" w:lineRule="atLeast"/>
        <w:ind w:firstLine="640" w:firstLineChars="200"/>
        <w:rPr>
          <w:rFonts w:hint="eastAsia" w:ascii="仿宋" w:hAnsi="仿宋" w:eastAsia="仿宋" w:cs="仿宋"/>
          <w:bCs/>
          <w:kern w:val="44"/>
          <w:sz w:val="32"/>
          <w:szCs w:val="32"/>
          <w:u w:val="none"/>
        </w:rPr>
      </w:pPr>
      <w:r>
        <w:rPr>
          <w:rFonts w:hint="eastAsia" w:ascii="仿宋_GB2312" w:eastAsia="仿宋_GB2312"/>
          <w:bCs/>
          <w:kern w:val="44"/>
          <w:sz w:val="32"/>
          <w:szCs w:val="32"/>
          <w:u w:val="none"/>
        </w:rPr>
        <w:t>图</w:t>
      </w:r>
      <w:r>
        <w:rPr>
          <w:rFonts w:ascii="仿宋_GB2312" w:eastAsia="仿宋_GB2312"/>
          <w:bCs/>
          <w:kern w:val="44"/>
          <w:sz w:val="32"/>
          <w:szCs w:val="32"/>
          <w:u w:val="none"/>
        </w:rPr>
        <w:t>2</w:t>
      </w:r>
      <w:r>
        <w:rPr>
          <w:rFonts w:hint="eastAsia" w:ascii="仿宋_GB2312" w:eastAsia="仿宋_GB2312"/>
          <w:bCs/>
          <w:kern w:val="44"/>
          <w:sz w:val="32"/>
          <w:szCs w:val="32"/>
          <w:u w:val="none"/>
        </w:rPr>
        <w:t>：收入决算结构</w:t>
      </w:r>
    </w:p>
    <w:p>
      <w:pPr>
        <w:adjustRightInd w:val="0"/>
        <w:snapToGrid w:val="0"/>
        <w:spacing w:line="560" w:lineRule="atLeast"/>
        <w:ind w:firstLine="420" w:firstLineChars="200"/>
        <w:jc w:val="center"/>
        <w:rPr>
          <w:rFonts w:hint="eastAsia" w:ascii="仿宋" w:hAnsi="仿宋" w:eastAsia="仿宋" w:cs="仿宋"/>
          <w:bCs/>
          <w:kern w:val="44"/>
          <w:sz w:val="32"/>
          <w:szCs w:val="32"/>
          <w:u w:val="none"/>
        </w:rPr>
      </w:pPr>
      <w:r>
        <w:drawing>
          <wp:inline distT="0" distB="0" distL="114300" distR="114300">
            <wp:extent cx="2981325" cy="217170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a:stretch>
                      <a:fillRect/>
                    </a:stretch>
                  </pic:blipFill>
                  <pic:spPr>
                    <a:xfrm>
                      <a:off x="0" y="0"/>
                      <a:ext cx="2981325" cy="2171700"/>
                    </a:xfrm>
                    <a:prstGeom prst="rect">
                      <a:avLst/>
                    </a:prstGeom>
                    <a:noFill/>
                    <a:ln>
                      <a:noFill/>
                    </a:ln>
                  </pic:spPr>
                </pic:pic>
              </a:graphicData>
            </a:graphic>
          </wp:inline>
        </w:drawing>
      </w:r>
    </w:p>
    <w:p>
      <w:pPr>
        <w:pStyle w:val="8"/>
        <w:ind w:firstLine="643" w:firstLineChars="200"/>
        <w:jc w:val="both"/>
        <w:rPr>
          <w:rFonts w:hint="eastAsia" w:ascii="仿宋" w:hAnsi="仿宋" w:eastAsia="仿宋" w:cs="仿宋"/>
          <w:b/>
          <w:sz w:val="32"/>
          <w:szCs w:val="32"/>
          <w:u w:val="none"/>
        </w:rPr>
      </w:pPr>
      <w:r>
        <w:rPr>
          <w:rFonts w:hint="eastAsia" w:ascii="仿宋" w:hAnsi="仿宋" w:eastAsia="仿宋" w:cs="仿宋"/>
          <w:b/>
          <w:sz w:val="32"/>
          <w:szCs w:val="32"/>
          <w:u w:val="none"/>
        </w:rPr>
        <w:t>三、</w:t>
      </w:r>
      <w:r>
        <w:rPr>
          <w:rFonts w:hint="eastAsia" w:ascii="仿宋" w:hAnsi="仿宋" w:eastAsia="仿宋" w:cs="仿宋"/>
          <w:b/>
          <w:sz w:val="32"/>
          <w:szCs w:val="32"/>
          <w:u w:val="none"/>
          <w:lang w:eastAsia="zh-CN"/>
        </w:rPr>
        <w:t>2021</w:t>
      </w:r>
      <w:r>
        <w:rPr>
          <w:rFonts w:hint="eastAsia" w:ascii="仿宋" w:hAnsi="仿宋" w:eastAsia="仿宋" w:cs="仿宋"/>
          <w:b/>
          <w:sz w:val="32"/>
          <w:szCs w:val="32"/>
          <w:u w:val="none"/>
        </w:rPr>
        <w:t>年度支出决算情况说明</w:t>
      </w:r>
    </w:p>
    <w:p>
      <w:pPr>
        <w:adjustRightInd w:val="0"/>
        <w:snapToGrid w:val="0"/>
        <w:spacing w:line="560" w:lineRule="atLeast"/>
        <w:ind w:firstLine="640" w:firstLineChars="200"/>
        <w:rPr>
          <w:rFonts w:hint="eastAsia" w:ascii="仿宋" w:hAnsi="仿宋" w:eastAsia="仿宋" w:cs="仿宋"/>
          <w:bCs/>
          <w:kern w:val="44"/>
          <w:sz w:val="32"/>
          <w:szCs w:val="32"/>
          <w:u w:val="none"/>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年度本年支出合计</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万元。其中：基本支出</w:t>
      </w:r>
      <w:r>
        <w:rPr>
          <w:rFonts w:hint="eastAsia" w:ascii="仿宋" w:hAnsi="仿宋" w:eastAsia="仿宋" w:cs="仿宋"/>
          <w:bCs/>
          <w:kern w:val="44"/>
          <w:sz w:val="32"/>
          <w:szCs w:val="32"/>
          <w:u w:val="none"/>
          <w:lang w:val="en-US" w:eastAsia="zh-CN"/>
        </w:rPr>
        <w:t>1890.61</w:t>
      </w:r>
      <w:r>
        <w:rPr>
          <w:rFonts w:hint="eastAsia" w:ascii="仿宋" w:hAnsi="仿宋" w:eastAsia="仿宋" w:cs="仿宋"/>
          <w:bCs/>
          <w:kern w:val="44"/>
          <w:sz w:val="32"/>
          <w:szCs w:val="32"/>
          <w:u w:val="none"/>
        </w:rPr>
        <w:t>万元，占本年支出</w:t>
      </w:r>
      <w:r>
        <w:rPr>
          <w:rFonts w:hint="eastAsia" w:ascii="仿宋" w:hAnsi="仿宋" w:eastAsia="仿宋" w:cs="仿宋"/>
          <w:bCs/>
          <w:kern w:val="44"/>
          <w:sz w:val="32"/>
          <w:szCs w:val="32"/>
          <w:u w:val="none"/>
          <w:lang w:val="en-US" w:eastAsia="zh-CN"/>
        </w:rPr>
        <w:t>81.09</w:t>
      </w:r>
      <w:r>
        <w:rPr>
          <w:rFonts w:hint="eastAsia" w:ascii="仿宋" w:hAnsi="仿宋" w:eastAsia="仿宋" w:cs="仿宋"/>
          <w:bCs/>
          <w:kern w:val="44"/>
          <w:sz w:val="32"/>
          <w:szCs w:val="32"/>
          <w:u w:val="none"/>
        </w:rPr>
        <w:t>%，项目支出</w:t>
      </w:r>
      <w:r>
        <w:rPr>
          <w:rFonts w:hint="eastAsia" w:ascii="仿宋" w:hAnsi="仿宋" w:eastAsia="仿宋" w:cs="仿宋"/>
          <w:bCs/>
          <w:kern w:val="44"/>
          <w:sz w:val="32"/>
          <w:szCs w:val="32"/>
          <w:u w:val="none"/>
          <w:lang w:val="en-US" w:eastAsia="zh-CN"/>
        </w:rPr>
        <w:t>441</w:t>
      </w:r>
      <w:r>
        <w:rPr>
          <w:rFonts w:hint="eastAsia" w:ascii="仿宋" w:hAnsi="仿宋" w:eastAsia="仿宋" w:cs="仿宋"/>
          <w:bCs/>
          <w:kern w:val="44"/>
          <w:sz w:val="32"/>
          <w:szCs w:val="32"/>
          <w:u w:val="none"/>
        </w:rPr>
        <w:t>万元，占本年支出</w:t>
      </w:r>
      <w:r>
        <w:rPr>
          <w:rFonts w:hint="eastAsia" w:ascii="仿宋" w:hAnsi="仿宋" w:eastAsia="仿宋" w:cs="仿宋"/>
          <w:bCs/>
          <w:kern w:val="44"/>
          <w:sz w:val="32"/>
          <w:szCs w:val="32"/>
          <w:u w:val="none"/>
          <w:lang w:val="en-US" w:eastAsia="zh-CN"/>
        </w:rPr>
        <w:t>18.91</w:t>
      </w:r>
      <w:r>
        <w:rPr>
          <w:rFonts w:hint="eastAsia" w:ascii="仿宋" w:hAnsi="仿宋" w:eastAsia="仿宋" w:cs="仿宋"/>
          <w:bCs/>
          <w:kern w:val="44"/>
          <w:sz w:val="32"/>
          <w:szCs w:val="32"/>
          <w:u w:val="none"/>
        </w:rPr>
        <w:t>%。</w:t>
      </w:r>
    </w:p>
    <w:p>
      <w:pPr>
        <w:adjustRightInd w:val="0"/>
        <w:snapToGrid w:val="0"/>
        <w:spacing w:line="580" w:lineRule="atLeast"/>
        <w:ind w:firstLine="640" w:firstLineChars="200"/>
        <w:rPr>
          <w:rFonts w:hint="eastAsia" w:ascii="仿宋_GB2312" w:eastAsia="仿宋_GB2312"/>
          <w:bCs/>
          <w:kern w:val="44"/>
          <w:sz w:val="32"/>
          <w:szCs w:val="32"/>
          <w:u w:val="none"/>
        </w:rPr>
      </w:pPr>
      <w:r>
        <w:rPr>
          <w:rFonts w:hint="eastAsia" w:ascii="仿宋_GB2312" w:eastAsia="仿宋_GB2312"/>
          <w:bCs/>
          <w:kern w:val="44"/>
          <w:sz w:val="32"/>
          <w:szCs w:val="32"/>
          <w:u w:val="none"/>
        </w:rPr>
        <w:t>图</w:t>
      </w:r>
      <w:r>
        <w:rPr>
          <w:rFonts w:ascii="仿宋_GB2312" w:eastAsia="仿宋_GB2312"/>
          <w:bCs/>
          <w:kern w:val="44"/>
          <w:sz w:val="32"/>
          <w:szCs w:val="32"/>
          <w:u w:val="none"/>
        </w:rPr>
        <w:t>3</w:t>
      </w:r>
      <w:r>
        <w:rPr>
          <w:rFonts w:hint="eastAsia" w:ascii="仿宋_GB2312" w:eastAsia="仿宋_GB2312"/>
          <w:bCs/>
          <w:kern w:val="44"/>
          <w:sz w:val="32"/>
          <w:szCs w:val="32"/>
          <w:u w:val="none"/>
        </w:rPr>
        <w:t>：支出决算结构</w:t>
      </w:r>
    </w:p>
    <w:p>
      <w:pPr>
        <w:adjustRightInd w:val="0"/>
        <w:snapToGrid w:val="0"/>
        <w:spacing w:line="560" w:lineRule="atLeast"/>
        <w:ind w:firstLine="420" w:firstLineChars="200"/>
        <w:jc w:val="center"/>
        <w:rPr>
          <w:rFonts w:hint="eastAsia" w:ascii="仿宋" w:hAnsi="仿宋" w:eastAsia="仿宋" w:cs="仿宋"/>
          <w:bCs/>
          <w:kern w:val="44"/>
          <w:sz w:val="32"/>
          <w:szCs w:val="32"/>
          <w:u w:val="none"/>
        </w:rPr>
      </w:pPr>
      <w:r>
        <w:drawing>
          <wp:inline distT="0" distB="0" distL="114300" distR="114300">
            <wp:extent cx="2638425" cy="260985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stretch>
                      <a:fillRect/>
                    </a:stretch>
                  </pic:blipFill>
                  <pic:spPr>
                    <a:xfrm>
                      <a:off x="0" y="0"/>
                      <a:ext cx="2638425" cy="2609850"/>
                    </a:xfrm>
                    <a:prstGeom prst="rect">
                      <a:avLst/>
                    </a:prstGeom>
                    <a:noFill/>
                    <a:ln>
                      <a:noFill/>
                    </a:ln>
                  </pic:spPr>
                </pic:pic>
              </a:graphicData>
            </a:graphic>
          </wp:inline>
        </w:drawing>
      </w:r>
    </w:p>
    <w:p>
      <w:pPr>
        <w:adjustRightInd w:val="0"/>
        <w:snapToGrid w:val="0"/>
        <w:spacing w:line="560" w:lineRule="atLeast"/>
        <w:ind w:firstLine="643" w:firstLineChars="200"/>
        <w:rPr>
          <w:rFonts w:hint="eastAsia" w:ascii="仿宋" w:hAnsi="仿宋" w:eastAsia="仿宋" w:cs="仿宋"/>
          <w:b/>
          <w:color w:val="000000"/>
          <w:kern w:val="0"/>
          <w:sz w:val="32"/>
          <w:szCs w:val="32"/>
          <w:u w:val="none"/>
        </w:rPr>
      </w:pPr>
      <w:r>
        <w:rPr>
          <w:rFonts w:hint="eastAsia" w:ascii="仿宋" w:hAnsi="仿宋" w:eastAsia="仿宋" w:cs="仿宋"/>
          <w:b/>
          <w:color w:val="000000"/>
          <w:kern w:val="0"/>
          <w:sz w:val="32"/>
          <w:szCs w:val="32"/>
          <w:u w:val="none"/>
        </w:rPr>
        <w:t>四、</w:t>
      </w:r>
      <w:r>
        <w:rPr>
          <w:rFonts w:hint="eastAsia" w:ascii="仿宋" w:hAnsi="仿宋" w:eastAsia="仿宋" w:cs="仿宋"/>
          <w:b/>
          <w:color w:val="000000"/>
          <w:kern w:val="0"/>
          <w:sz w:val="32"/>
          <w:szCs w:val="32"/>
          <w:u w:val="none"/>
          <w:lang w:eastAsia="zh-CN"/>
        </w:rPr>
        <w:t>2021</w:t>
      </w:r>
      <w:r>
        <w:rPr>
          <w:rFonts w:hint="eastAsia" w:ascii="仿宋" w:hAnsi="仿宋" w:eastAsia="仿宋" w:cs="仿宋"/>
          <w:b/>
          <w:color w:val="000000"/>
          <w:kern w:val="0"/>
          <w:sz w:val="32"/>
          <w:szCs w:val="32"/>
          <w:u w:val="none"/>
        </w:rPr>
        <w:t>年度财政拨款收入支出决算总体情况说明</w:t>
      </w:r>
    </w:p>
    <w:p>
      <w:pPr>
        <w:adjustRightInd w:val="0"/>
        <w:snapToGrid w:val="0"/>
        <w:spacing w:line="560" w:lineRule="atLeast"/>
        <w:ind w:firstLine="640" w:firstLineChars="200"/>
        <w:rPr>
          <w:rFonts w:hint="default" w:ascii="仿宋" w:hAnsi="仿宋" w:eastAsia="仿宋" w:cs="仿宋"/>
          <w:bCs/>
          <w:kern w:val="44"/>
          <w:sz w:val="32"/>
          <w:szCs w:val="32"/>
          <w:highlight w:val="none"/>
          <w:u w:val="none"/>
          <w:lang w:val="en-US" w:eastAsia="zh-CN"/>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年度财政拨款收入总计</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万元（含年初结转和结余</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万元），其中：一般公共预算财政拨款</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万元。财政拨款支出总计</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万元（含年末结转和结余</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万元），</w:t>
      </w:r>
      <w:r>
        <w:rPr>
          <w:rFonts w:hint="eastAsia" w:ascii="仿宋" w:hAnsi="仿宋" w:eastAsia="仿宋" w:cs="仿宋"/>
          <w:bCs/>
          <w:kern w:val="44"/>
          <w:sz w:val="32"/>
          <w:szCs w:val="32"/>
          <w:highlight w:val="none"/>
          <w:u w:val="none"/>
        </w:rPr>
        <w:t>与去年相比，收、支</w:t>
      </w:r>
      <w:r>
        <w:rPr>
          <w:rFonts w:hint="eastAsia" w:ascii="仿宋" w:hAnsi="仿宋" w:eastAsia="仿宋" w:cs="仿宋"/>
          <w:bCs/>
          <w:kern w:val="44"/>
          <w:sz w:val="32"/>
          <w:szCs w:val="32"/>
          <w:highlight w:val="none"/>
          <w:u w:val="none"/>
          <w:lang w:val="en-US" w:eastAsia="zh-CN"/>
        </w:rPr>
        <w:t>增加5.35</w:t>
      </w:r>
      <w:r>
        <w:rPr>
          <w:rFonts w:hint="eastAsia" w:ascii="仿宋" w:hAnsi="仿宋" w:eastAsia="仿宋" w:cs="仿宋"/>
          <w:bCs/>
          <w:kern w:val="44"/>
          <w:sz w:val="32"/>
          <w:szCs w:val="32"/>
          <w:highlight w:val="none"/>
          <w:u w:val="none"/>
        </w:rPr>
        <w:t>万元，</w:t>
      </w:r>
      <w:r>
        <w:rPr>
          <w:rFonts w:hint="eastAsia" w:ascii="仿宋" w:hAnsi="仿宋" w:eastAsia="仿宋" w:cs="仿宋"/>
          <w:bCs/>
          <w:kern w:val="44"/>
          <w:sz w:val="32"/>
          <w:szCs w:val="32"/>
          <w:highlight w:val="none"/>
          <w:u w:val="none"/>
          <w:lang w:val="en-US" w:eastAsia="zh-CN"/>
        </w:rPr>
        <w:t>增长0.23</w:t>
      </w:r>
      <w:r>
        <w:rPr>
          <w:rFonts w:hint="eastAsia" w:ascii="仿宋" w:hAnsi="仿宋" w:eastAsia="仿宋" w:cs="仿宋"/>
          <w:bCs/>
          <w:kern w:val="44"/>
          <w:sz w:val="32"/>
          <w:szCs w:val="32"/>
          <w:highlight w:val="none"/>
          <w:u w:val="none"/>
        </w:rPr>
        <w:t>%。主要原因是</w:t>
      </w:r>
      <w:r>
        <w:rPr>
          <w:rFonts w:hint="eastAsia" w:ascii="仿宋" w:hAnsi="仿宋" w:eastAsia="仿宋" w:cs="仿宋"/>
          <w:bCs/>
          <w:kern w:val="44"/>
          <w:sz w:val="32"/>
          <w:szCs w:val="32"/>
          <w:highlight w:val="none"/>
          <w:u w:val="none"/>
          <w:lang w:val="en-US" w:eastAsia="zh-CN"/>
        </w:rPr>
        <w:t>人员工资基数正常调增，导致本年财政收支较上年增加。</w:t>
      </w:r>
    </w:p>
    <w:p>
      <w:pPr>
        <w:adjustRightInd w:val="0"/>
        <w:snapToGrid w:val="0"/>
        <w:spacing w:line="580" w:lineRule="atLeast"/>
        <w:rPr>
          <w:rFonts w:hint="eastAsia" w:ascii="仿宋" w:hAnsi="仿宋" w:eastAsia="仿宋" w:cs="仿宋"/>
          <w:bCs/>
          <w:kern w:val="44"/>
          <w:sz w:val="32"/>
          <w:szCs w:val="32"/>
          <w:highlight w:val="none"/>
          <w:u w:val="none"/>
        </w:rPr>
      </w:pPr>
      <w:r>
        <w:rPr>
          <w:rFonts w:hint="eastAsia" w:ascii="仿宋_GB2312" w:eastAsia="仿宋_GB2312"/>
          <w:bCs/>
          <w:kern w:val="44"/>
          <w:sz w:val="32"/>
          <w:szCs w:val="32"/>
          <w:highlight w:val="none"/>
          <w:u w:val="none"/>
        </w:rPr>
        <w:t>图</w:t>
      </w:r>
      <w:r>
        <w:rPr>
          <w:rFonts w:ascii="仿宋_GB2312" w:eastAsia="仿宋_GB2312"/>
          <w:bCs/>
          <w:kern w:val="44"/>
          <w:sz w:val="32"/>
          <w:szCs w:val="32"/>
          <w:highlight w:val="none"/>
          <w:u w:val="none"/>
        </w:rPr>
        <w:t>4</w:t>
      </w:r>
      <w:r>
        <w:rPr>
          <w:rFonts w:hint="eastAsia" w:ascii="仿宋_GB2312" w:eastAsia="仿宋_GB2312"/>
          <w:bCs/>
          <w:kern w:val="44"/>
          <w:sz w:val="32"/>
          <w:szCs w:val="32"/>
          <w:highlight w:val="none"/>
          <w:u w:val="none"/>
        </w:rPr>
        <w:t>：财政拨款收、支决算总计变动情况</w:t>
      </w:r>
    </w:p>
    <w:p>
      <w:pPr>
        <w:adjustRightInd w:val="0"/>
        <w:snapToGrid w:val="0"/>
        <w:spacing w:line="560" w:lineRule="atLeast"/>
        <w:jc w:val="center"/>
        <w:rPr>
          <w:rFonts w:hint="eastAsia" w:ascii="仿宋" w:hAnsi="仿宋" w:eastAsia="仿宋" w:cs="仿宋"/>
          <w:bCs/>
          <w:kern w:val="44"/>
          <w:sz w:val="32"/>
          <w:szCs w:val="32"/>
          <w:u w:val="none"/>
          <w:lang w:eastAsia="zh-CN"/>
        </w:rPr>
      </w:pPr>
      <w:r>
        <w:drawing>
          <wp:inline distT="0" distB="0" distL="114300" distR="114300">
            <wp:extent cx="3638550" cy="2628900"/>
            <wp:effectExtent l="0" t="0" r="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6"/>
                    <a:stretch>
                      <a:fillRect/>
                    </a:stretch>
                  </pic:blipFill>
                  <pic:spPr>
                    <a:xfrm>
                      <a:off x="0" y="0"/>
                      <a:ext cx="3638550" cy="2628900"/>
                    </a:xfrm>
                    <a:prstGeom prst="rect">
                      <a:avLst/>
                    </a:prstGeom>
                    <a:noFill/>
                    <a:ln>
                      <a:noFill/>
                    </a:ln>
                  </pic:spPr>
                </pic:pic>
              </a:graphicData>
            </a:graphic>
          </wp:inline>
        </w:drawing>
      </w:r>
    </w:p>
    <w:p>
      <w:pPr>
        <w:pStyle w:val="8"/>
        <w:ind w:firstLine="643" w:firstLineChars="200"/>
        <w:jc w:val="both"/>
        <w:rPr>
          <w:rFonts w:hint="eastAsia" w:ascii="仿宋" w:hAnsi="仿宋" w:eastAsia="仿宋" w:cs="仿宋"/>
          <w:b/>
          <w:bCs/>
          <w:color w:val="auto"/>
          <w:sz w:val="32"/>
          <w:szCs w:val="32"/>
          <w:u w:val="none"/>
        </w:rPr>
      </w:pPr>
      <w:r>
        <w:rPr>
          <w:rFonts w:hint="eastAsia" w:ascii="仿宋" w:hAnsi="仿宋" w:eastAsia="仿宋" w:cs="仿宋"/>
          <w:b/>
          <w:bCs/>
          <w:color w:val="auto"/>
          <w:sz w:val="32"/>
          <w:szCs w:val="32"/>
          <w:u w:val="none"/>
        </w:rPr>
        <w:t>五、</w:t>
      </w:r>
      <w:r>
        <w:rPr>
          <w:rFonts w:hint="eastAsia" w:ascii="仿宋" w:hAnsi="仿宋" w:eastAsia="仿宋" w:cs="仿宋"/>
          <w:b/>
          <w:bCs/>
          <w:sz w:val="32"/>
          <w:szCs w:val="32"/>
          <w:u w:val="none"/>
          <w:lang w:eastAsia="zh-CN"/>
        </w:rPr>
        <w:t>2021</w:t>
      </w:r>
      <w:r>
        <w:rPr>
          <w:rFonts w:hint="eastAsia" w:ascii="仿宋" w:hAnsi="仿宋" w:eastAsia="仿宋" w:cs="仿宋"/>
          <w:b/>
          <w:bCs/>
          <w:sz w:val="32"/>
          <w:szCs w:val="32"/>
          <w:u w:val="none"/>
        </w:rPr>
        <w:t>年度</w:t>
      </w:r>
      <w:r>
        <w:rPr>
          <w:rFonts w:hint="eastAsia" w:ascii="仿宋" w:hAnsi="仿宋" w:eastAsia="仿宋" w:cs="仿宋"/>
          <w:b/>
          <w:bCs/>
          <w:color w:val="auto"/>
          <w:sz w:val="32"/>
          <w:szCs w:val="32"/>
          <w:u w:val="none"/>
        </w:rPr>
        <w:t>一般公共预算财政拨款支出决算情况说明</w:t>
      </w:r>
    </w:p>
    <w:p>
      <w:pPr>
        <w:pStyle w:val="8"/>
        <w:ind w:firstLine="643" w:firstLineChars="200"/>
        <w:jc w:val="both"/>
        <w:rPr>
          <w:rFonts w:hint="eastAsia" w:ascii="仿宋" w:hAnsi="仿宋" w:eastAsia="仿宋" w:cs="仿宋"/>
          <w:b/>
          <w:bCs/>
          <w:color w:val="auto"/>
          <w:sz w:val="32"/>
          <w:szCs w:val="32"/>
          <w:u w:val="none"/>
        </w:rPr>
      </w:pPr>
      <w:r>
        <w:rPr>
          <w:rFonts w:hint="eastAsia" w:ascii="仿宋" w:hAnsi="仿宋" w:eastAsia="仿宋" w:cs="仿宋"/>
          <w:b/>
          <w:bCs/>
          <w:color w:val="auto"/>
          <w:sz w:val="32"/>
          <w:szCs w:val="32"/>
          <w:u w:val="none"/>
        </w:rPr>
        <w:t>（一）一般公共预算财政拨款支出总体情况</w:t>
      </w:r>
    </w:p>
    <w:p>
      <w:pPr>
        <w:adjustRightInd w:val="0"/>
        <w:snapToGrid w:val="0"/>
        <w:spacing w:line="560" w:lineRule="atLeast"/>
        <w:ind w:firstLine="640" w:firstLineChars="200"/>
        <w:rPr>
          <w:rFonts w:hint="default" w:ascii="仿宋" w:hAnsi="仿宋" w:eastAsia="仿宋" w:cs="仿宋"/>
          <w:sz w:val="32"/>
          <w:szCs w:val="32"/>
          <w:u w:val="none"/>
          <w:lang w:val="en-US" w:eastAsia="zh-CN"/>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年一般公共预算财政拨款支出年度预算为</w:t>
      </w:r>
      <w:r>
        <w:rPr>
          <w:rFonts w:hint="eastAsia" w:ascii="仿宋" w:hAnsi="仿宋" w:eastAsia="仿宋" w:cs="仿宋"/>
          <w:bCs/>
          <w:kern w:val="44"/>
          <w:sz w:val="32"/>
          <w:szCs w:val="32"/>
          <w:highlight w:val="none"/>
          <w:u w:val="none"/>
          <w:lang w:val="en-US" w:eastAsia="zh-CN"/>
        </w:rPr>
        <w:t>2326.44</w:t>
      </w:r>
      <w:r>
        <w:rPr>
          <w:rFonts w:hint="eastAsia" w:ascii="仿宋" w:hAnsi="仿宋" w:eastAsia="仿宋" w:cs="仿宋"/>
          <w:bCs/>
          <w:kern w:val="44"/>
          <w:sz w:val="32"/>
          <w:szCs w:val="32"/>
          <w:highlight w:val="none"/>
          <w:u w:val="none"/>
        </w:rPr>
        <w:t>万元</w:t>
      </w:r>
      <w:r>
        <w:rPr>
          <w:rFonts w:hint="eastAsia" w:ascii="仿宋" w:hAnsi="仿宋" w:eastAsia="仿宋" w:cs="仿宋"/>
          <w:sz w:val="32"/>
          <w:szCs w:val="32"/>
          <w:u w:val="none"/>
        </w:rPr>
        <w:t>（包括年初部门预算、基本建设资金、上级下达的专项转移支付资金及年初结转和结余资金等支出），本年</w:t>
      </w:r>
      <w:r>
        <w:rPr>
          <w:rFonts w:hint="eastAsia" w:ascii="仿宋" w:hAnsi="仿宋" w:eastAsia="仿宋" w:cs="仿宋"/>
          <w:bCs/>
          <w:kern w:val="44"/>
          <w:sz w:val="32"/>
          <w:szCs w:val="32"/>
          <w:u w:val="none"/>
        </w:rPr>
        <w:t>支出合计</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100.22</w:t>
      </w:r>
      <w:r>
        <w:rPr>
          <w:rFonts w:hint="eastAsia" w:ascii="仿宋" w:hAnsi="仿宋" w:eastAsia="仿宋" w:cs="仿宋"/>
          <w:bCs/>
          <w:kern w:val="44"/>
          <w:sz w:val="32"/>
          <w:szCs w:val="32"/>
          <w:highlight w:val="none"/>
          <w:u w:val="none"/>
        </w:rPr>
        <w:t>%</w:t>
      </w:r>
      <w:r>
        <w:rPr>
          <w:rFonts w:hint="eastAsia" w:ascii="仿宋" w:hAnsi="仿宋" w:eastAsia="仿宋" w:cs="仿宋"/>
          <w:bCs/>
          <w:kern w:val="44"/>
          <w:sz w:val="32"/>
          <w:szCs w:val="32"/>
          <w:u w:val="none"/>
        </w:rPr>
        <w:t>。其中：基本支出</w:t>
      </w:r>
      <w:r>
        <w:rPr>
          <w:rFonts w:hint="eastAsia" w:ascii="仿宋" w:hAnsi="仿宋" w:eastAsia="仿宋" w:cs="仿宋"/>
          <w:bCs/>
          <w:kern w:val="44"/>
          <w:sz w:val="32"/>
          <w:szCs w:val="32"/>
          <w:u w:val="none"/>
          <w:lang w:val="en-US" w:eastAsia="zh-CN"/>
        </w:rPr>
        <w:t>1890.61</w:t>
      </w:r>
      <w:r>
        <w:rPr>
          <w:rFonts w:hint="eastAsia" w:ascii="仿宋" w:hAnsi="仿宋" w:eastAsia="仿宋" w:cs="仿宋"/>
          <w:bCs/>
          <w:kern w:val="44"/>
          <w:sz w:val="32"/>
          <w:szCs w:val="32"/>
          <w:u w:val="none"/>
        </w:rPr>
        <w:t>万元，项目支出</w:t>
      </w:r>
      <w:r>
        <w:rPr>
          <w:rFonts w:hint="eastAsia" w:ascii="仿宋" w:hAnsi="仿宋" w:eastAsia="仿宋" w:cs="仿宋"/>
          <w:bCs/>
          <w:kern w:val="44"/>
          <w:sz w:val="32"/>
          <w:szCs w:val="32"/>
          <w:u w:val="none"/>
          <w:lang w:val="en-US" w:eastAsia="zh-CN"/>
        </w:rPr>
        <w:t>441</w:t>
      </w:r>
      <w:r>
        <w:rPr>
          <w:rFonts w:hint="eastAsia" w:ascii="仿宋" w:hAnsi="仿宋" w:eastAsia="仿宋" w:cs="仿宋"/>
          <w:bCs/>
          <w:kern w:val="44"/>
          <w:sz w:val="32"/>
          <w:szCs w:val="32"/>
          <w:u w:val="none"/>
        </w:rPr>
        <w:t>万元。</w:t>
      </w:r>
      <w:r>
        <w:rPr>
          <w:rFonts w:hint="eastAsia" w:ascii="仿宋" w:hAnsi="仿宋" w:eastAsia="仿宋" w:cs="仿宋"/>
          <w:sz w:val="32"/>
          <w:szCs w:val="32"/>
          <w:u w:val="none"/>
        </w:rPr>
        <w:t>项目支出主要用于</w:t>
      </w:r>
      <w:r>
        <w:rPr>
          <w:rFonts w:hint="eastAsia" w:ascii="仿宋" w:hAnsi="仿宋" w:eastAsia="仿宋" w:cs="仿宋"/>
          <w:sz w:val="32"/>
          <w:szCs w:val="32"/>
          <w:highlight w:val="none"/>
          <w:u w:val="none"/>
          <w:lang w:eastAsia="zh-CN"/>
        </w:rPr>
        <w:t>人大专门委员会活动经费</w:t>
      </w:r>
      <w:r>
        <w:rPr>
          <w:rFonts w:hint="eastAsia" w:ascii="仿宋" w:hAnsi="仿宋" w:eastAsia="仿宋" w:cs="仿宋"/>
          <w:sz w:val="32"/>
          <w:szCs w:val="32"/>
          <w:highlight w:val="none"/>
          <w:u w:val="none"/>
          <w:lang w:val="en-US" w:eastAsia="zh-CN"/>
        </w:rPr>
        <w:t>6.66</w:t>
      </w:r>
      <w:r>
        <w:rPr>
          <w:rFonts w:hint="eastAsia" w:ascii="仿宋" w:hAnsi="仿宋" w:eastAsia="仿宋" w:cs="仿宋"/>
          <w:sz w:val="32"/>
          <w:szCs w:val="32"/>
          <w:highlight w:val="none"/>
          <w:u w:val="none"/>
        </w:rPr>
        <w:t>万元，主要成效</w:t>
      </w:r>
      <w:r>
        <w:rPr>
          <w:rFonts w:hint="eastAsia" w:ascii="仿宋" w:hAnsi="仿宋" w:eastAsia="仿宋" w:cs="仿宋"/>
          <w:sz w:val="32"/>
          <w:szCs w:val="32"/>
          <w:highlight w:val="none"/>
          <w:u w:val="none"/>
          <w:lang w:eastAsia="zh-CN"/>
        </w:rPr>
        <w:t>增强人大专门委员会的专业性，为区委政府出谋献策</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eastAsia="zh-CN"/>
        </w:rPr>
        <w:t>人大例会活动经费</w:t>
      </w:r>
      <w:r>
        <w:rPr>
          <w:rFonts w:hint="eastAsia" w:ascii="仿宋" w:hAnsi="仿宋" w:eastAsia="仿宋" w:cs="仿宋"/>
          <w:sz w:val="32"/>
          <w:szCs w:val="32"/>
          <w:highlight w:val="none"/>
          <w:u w:val="none"/>
          <w:lang w:val="en-US" w:eastAsia="zh-CN"/>
        </w:rPr>
        <w:t>66.58万元</w:t>
      </w:r>
      <w:r>
        <w:rPr>
          <w:rFonts w:hint="eastAsia" w:ascii="仿宋" w:hAnsi="仿宋" w:eastAsia="仿宋" w:cs="仿宋"/>
          <w:sz w:val="32"/>
          <w:szCs w:val="32"/>
          <w:highlight w:val="none"/>
          <w:u w:val="none"/>
        </w:rPr>
        <w:t>万元，主要成效</w:t>
      </w:r>
      <w:r>
        <w:rPr>
          <w:rFonts w:hint="eastAsia" w:ascii="仿宋" w:hAnsi="仿宋" w:eastAsia="仿宋" w:cs="仿宋"/>
          <w:sz w:val="32"/>
          <w:szCs w:val="32"/>
          <w:highlight w:val="none"/>
          <w:u w:val="none"/>
          <w:lang w:eastAsia="zh-CN"/>
        </w:rPr>
        <w:t>履行人大职能，依法审议重大事项</w:t>
      </w:r>
      <w:r>
        <w:rPr>
          <w:rFonts w:hint="eastAsia" w:ascii="仿宋" w:hAnsi="仿宋" w:eastAsia="仿宋" w:cs="仿宋"/>
          <w:sz w:val="32"/>
          <w:szCs w:val="32"/>
          <w:highlight w:val="none"/>
          <w:u w:val="none"/>
        </w:rPr>
        <w:t>；</w:t>
      </w:r>
      <w:r>
        <w:rPr>
          <w:rFonts w:hint="eastAsia" w:ascii="仿宋" w:hAnsi="仿宋" w:eastAsia="仿宋" w:cs="仿宋"/>
          <w:sz w:val="32"/>
          <w:szCs w:val="32"/>
          <w:highlight w:val="none"/>
          <w:u w:val="none"/>
          <w:lang w:eastAsia="zh-CN"/>
        </w:rPr>
        <w:t>人大代表活动经费</w:t>
      </w:r>
      <w:r>
        <w:rPr>
          <w:rFonts w:hint="eastAsia" w:ascii="仿宋" w:hAnsi="仿宋" w:eastAsia="仿宋" w:cs="仿宋"/>
          <w:sz w:val="32"/>
          <w:szCs w:val="32"/>
          <w:highlight w:val="none"/>
          <w:u w:val="none"/>
          <w:lang w:val="en-US" w:eastAsia="zh-CN"/>
        </w:rPr>
        <w:t>17.89万元，主要成效</w:t>
      </w:r>
      <w:r>
        <w:rPr>
          <w:rFonts w:hint="eastAsia" w:ascii="仿宋" w:hAnsi="仿宋" w:eastAsia="仿宋" w:cs="仿宋"/>
          <w:sz w:val="32"/>
          <w:szCs w:val="32"/>
          <w:highlight w:val="none"/>
          <w:u w:val="none"/>
          <w:lang w:eastAsia="zh-CN"/>
        </w:rPr>
        <w:t>通过培训增强人大代表的履行职责的能力，推动决策民主化、科学化、法制化；区人大运行经费缺口</w:t>
      </w:r>
      <w:r>
        <w:rPr>
          <w:rFonts w:hint="eastAsia" w:ascii="仿宋" w:hAnsi="仿宋" w:eastAsia="仿宋" w:cs="仿宋"/>
          <w:sz w:val="32"/>
          <w:szCs w:val="32"/>
          <w:highlight w:val="none"/>
          <w:u w:val="none"/>
          <w:lang w:val="en-US" w:eastAsia="zh-CN"/>
        </w:rPr>
        <w:t>108.44万元，主要成效</w:t>
      </w:r>
      <w:r>
        <w:rPr>
          <w:rFonts w:hint="eastAsia" w:ascii="仿宋" w:hAnsi="仿宋" w:eastAsia="仿宋" w:cs="仿宋"/>
          <w:sz w:val="32"/>
          <w:szCs w:val="32"/>
          <w:highlight w:val="none"/>
          <w:u w:val="none"/>
          <w:lang w:eastAsia="zh-CN"/>
        </w:rPr>
        <w:t>保障常委会和机关办公日常工作，更好的服务区人大工作；第六届人大换届选举经费</w:t>
      </w:r>
      <w:r>
        <w:rPr>
          <w:rFonts w:hint="eastAsia" w:ascii="仿宋" w:hAnsi="仿宋" w:eastAsia="仿宋" w:cs="仿宋"/>
          <w:sz w:val="32"/>
          <w:szCs w:val="32"/>
          <w:highlight w:val="none"/>
          <w:u w:val="none"/>
          <w:lang w:val="en-US" w:eastAsia="zh-CN"/>
        </w:rPr>
        <w:t>69.5万元，主要成效</w:t>
      </w:r>
      <w:r>
        <w:rPr>
          <w:rFonts w:hint="eastAsia" w:ascii="仿宋" w:hAnsi="仿宋" w:eastAsia="仿宋" w:cs="仿宋"/>
          <w:sz w:val="32"/>
          <w:szCs w:val="32"/>
          <w:highlight w:val="none"/>
          <w:u w:val="none"/>
          <w:lang w:eastAsia="zh-CN"/>
        </w:rPr>
        <w:t>做好换届选举服务工作，圆满完成换届选举；公费医疗支出</w:t>
      </w:r>
      <w:r>
        <w:rPr>
          <w:rFonts w:hint="eastAsia" w:ascii="仿宋" w:hAnsi="仿宋" w:eastAsia="仿宋" w:cs="仿宋"/>
          <w:sz w:val="32"/>
          <w:szCs w:val="32"/>
          <w:highlight w:val="none"/>
          <w:u w:val="none"/>
          <w:lang w:val="en-US" w:eastAsia="zh-CN"/>
        </w:rPr>
        <w:t>74.24万元，主要成效</w:t>
      </w:r>
      <w:r>
        <w:rPr>
          <w:rFonts w:hint="eastAsia" w:ascii="仿宋" w:hAnsi="仿宋" w:eastAsia="仿宋" w:cs="仿宋"/>
          <w:sz w:val="32"/>
          <w:szCs w:val="32"/>
          <w:highlight w:val="none"/>
          <w:u w:val="none"/>
          <w:lang w:eastAsia="zh-CN"/>
        </w:rPr>
        <w:t>保障副区级干部的公费医疗待遇；政府购买服务经费</w:t>
      </w:r>
      <w:r>
        <w:rPr>
          <w:rFonts w:hint="eastAsia" w:ascii="仿宋" w:hAnsi="仿宋" w:eastAsia="仿宋" w:cs="仿宋"/>
          <w:sz w:val="32"/>
          <w:szCs w:val="32"/>
          <w:highlight w:val="none"/>
          <w:u w:val="none"/>
          <w:lang w:val="en-US" w:eastAsia="zh-CN"/>
        </w:rPr>
        <w:t>11.9万元，主要成效</w:t>
      </w:r>
      <w:r>
        <w:rPr>
          <w:rFonts w:hint="eastAsia" w:ascii="仿宋" w:hAnsi="仿宋" w:eastAsia="仿宋" w:cs="仿宋"/>
          <w:sz w:val="32"/>
          <w:szCs w:val="32"/>
          <w:highlight w:val="none"/>
          <w:u w:val="none"/>
          <w:lang w:eastAsia="zh-CN"/>
        </w:rPr>
        <w:t>提高单位办文办会的工作效率；街道园区人大代表工作室和联络组经费</w:t>
      </w:r>
      <w:r>
        <w:rPr>
          <w:rFonts w:hint="eastAsia" w:ascii="仿宋" w:hAnsi="仿宋" w:eastAsia="仿宋" w:cs="仿宋"/>
          <w:sz w:val="32"/>
          <w:szCs w:val="32"/>
          <w:highlight w:val="none"/>
          <w:u w:val="none"/>
          <w:lang w:val="en-US" w:eastAsia="zh-CN"/>
        </w:rPr>
        <w:t>30万元，主要成效</w:t>
      </w:r>
      <w:r>
        <w:rPr>
          <w:rFonts w:hint="eastAsia" w:ascii="仿宋" w:hAnsi="仿宋" w:eastAsia="仿宋" w:cs="仿宋"/>
          <w:sz w:val="32"/>
          <w:szCs w:val="32"/>
          <w:highlight w:val="none"/>
          <w:u w:val="none"/>
          <w:lang w:eastAsia="zh-CN"/>
        </w:rPr>
        <w:t>做好街道人大工作，提升街道人大战斗力；</w:t>
      </w:r>
      <w:r>
        <w:rPr>
          <w:rFonts w:hint="eastAsia" w:ascii="仿宋" w:hAnsi="仿宋" w:eastAsia="仿宋" w:cs="仿宋"/>
          <w:sz w:val="32"/>
          <w:szCs w:val="32"/>
          <w:u w:val="none"/>
          <w:lang w:eastAsia="zh-CN"/>
        </w:rPr>
        <w:t>区人大死亡抚恤费</w:t>
      </w:r>
      <w:r>
        <w:rPr>
          <w:rFonts w:hint="eastAsia" w:ascii="仿宋" w:hAnsi="仿宋" w:eastAsia="仿宋" w:cs="仿宋"/>
          <w:sz w:val="32"/>
          <w:szCs w:val="32"/>
          <w:u w:val="none"/>
          <w:lang w:val="en-US" w:eastAsia="zh-CN"/>
        </w:rPr>
        <w:t>55.79万元，主要成效是用于我单位2个人的死亡抚恤金。</w:t>
      </w:r>
    </w:p>
    <w:p>
      <w:pPr>
        <w:adjustRightInd w:val="0"/>
        <w:snapToGrid w:val="0"/>
        <w:spacing w:line="560" w:lineRule="atLeast"/>
        <w:ind w:firstLine="643" w:firstLineChars="200"/>
        <w:rPr>
          <w:rFonts w:hint="eastAsia" w:ascii="仿宋" w:hAnsi="仿宋" w:eastAsia="仿宋" w:cs="仿宋"/>
          <w:b/>
          <w:kern w:val="44"/>
          <w:sz w:val="32"/>
          <w:szCs w:val="32"/>
          <w:u w:val="none"/>
        </w:rPr>
      </w:pPr>
      <w:r>
        <w:rPr>
          <w:rFonts w:hint="eastAsia" w:ascii="仿宋" w:hAnsi="仿宋" w:eastAsia="仿宋" w:cs="仿宋"/>
          <w:b/>
          <w:kern w:val="44"/>
          <w:sz w:val="32"/>
          <w:szCs w:val="32"/>
          <w:u w:val="none"/>
        </w:rPr>
        <w:t>（二）一般公共预算财政拨款支出结构情况</w:t>
      </w:r>
    </w:p>
    <w:p>
      <w:pPr>
        <w:adjustRightInd w:val="0"/>
        <w:snapToGrid w:val="0"/>
        <w:spacing w:line="560" w:lineRule="atLeast"/>
        <w:ind w:firstLine="640" w:firstLineChars="200"/>
        <w:rPr>
          <w:rFonts w:hint="eastAsia" w:ascii="仿宋" w:hAnsi="仿宋" w:eastAsia="仿宋" w:cs="仿宋"/>
          <w:bCs/>
          <w:kern w:val="44"/>
          <w:sz w:val="32"/>
          <w:szCs w:val="32"/>
          <w:u w:val="none"/>
          <w:lang w:val="en-US" w:eastAsia="zh-CN"/>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年一般公共预算财政拨款本年支出合计</w:t>
      </w:r>
      <w:r>
        <w:rPr>
          <w:rFonts w:hint="eastAsia" w:ascii="仿宋" w:hAnsi="仿宋" w:eastAsia="仿宋" w:cs="仿宋"/>
          <w:bCs/>
          <w:kern w:val="44"/>
          <w:sz w:val="32"/>
          <w:szCs w:val="32"/>
          <w:u w:val="none"/>
          <w:lang w:val="en-US" w:eastAsia="zh-CN"/>
        </w:rPr>
        <w:t>2331.61</w:t>
      </w:r>
      <w:r>
        <w:rPr>
          <w:rFonts w:hint="eastAsia" w:ascii="仿宋" w:hAnsi="仿宋" w:eastAsia="仿宋" w:cs="仿宋"/>
          <w:bCs/>
          <w:kern w:val="44"/>
          <w:sz w:val="32"/>
          <w:szCs w:val="32"/>
          <w:u w:val="none"/>
        </w:rPr>
        <w:t>万元，主要用于以下方面：一般公共服务支出(类)</w:t>
      </w:r>
      <w:r>
        <w:rPr>
          <w:rFonts w:hint="eastAsia" w:ascii="仿宋" w:hAnsi="仿宋" w:eastAsia="仿宋" w:cs="仿宋"/>
          <w:bCs/>
          <w:kern w:val="44"/>
          <w:sz w:val="32"/>
          <w:szCs w:val="32"/>
          <w:u w:val="none"/>
          <w:lang w:val="en-US" w:eastAsia="zh-CN"/>
        </w:rPr>
        <w:t>1487.92</w:t>
      </w:r>
      <w:r>
        <w:rPr>
          <w:rFonts w:hint="eastAsia" w:ascii="仿宋" w:hAnsi="仿宋" w:eastAsia="仿宋" w:cs="仿宋"/>
          <w:bCs/>
          <w:kern w:val="44"/>
          <w:sz w:val="32"/>
          <w:szCs w:val="32"/>
          <w:u w:val="none"/>
        </w:rPr>
        <w:t>万元，占本年支出</w:t>
      </w:r>
      <w:r>
        <w:rPr>
          <w:rFonts w:hint="eastAsia" w:ascii="仿宋" w:hAnsi="仿宋" w:eastAsia="仿宋" w:cs="仿宋"/>
          <w:bCs/>
          <w:kern w:val="44"/>
          <w:sz w:val="32"/>
          <w:szCs w:val="32"/>
          <w:u w:val="none"/>
          <w:lang w:val="en-US" w:eastAsia="zh-CN"/>
        </w:rPr>
        <w:t>63.82</w:t>
      </w:r>
      <w:r>
        <w:rPr>
          <w:rFonts w:hint="eastAsia" w:ascii="仿宋" w:hAnsi="仿宋" w:eastAsia="仿宋" w:cs="仿宋"/>
          <w:bCs/>
          <w:kern w:val="44"/>
          <w:sz w:val="32"/>
          <w:szCs w:val="32"/>
          <w:u w:val="none"/>
        </w:rPr>
        <w:t>%；社会保障和就业支出(类)</w:t>
      </w:r>
      <w:r>
        <w:rPr>
          <w:rFonts w:hint="eastAsia" w:ascii="仿宋" w:hAnsi="仿宋" w:eastAsia="仿宋" w:cs="仿宋"/>
          <w:bCs/>
          <w:kern w:val="44"/>
          <w:sz w:val="32"/>
          <w:szCs w:val="32"/>
          <w:u w:val="none"/>
          <w:lang w:val="en-US" w:eastAsia="zh-CN"/>
        </w:rPr>
        <w:t>457.64</w:t>
      </w:r>
      <w:r>
        <w:rPr>
          <w:rFonts w:hint="eastAsia" w:ascii="仿宋" w:hAnsi="仿宋" w:eastAsia="仿宋" w:cs="仿宋"/>
          <w:bCs/>
          <w:kern w:val="44"/>
          <w:sz w:val="32"/>
          <w:szCs w:val="32"/>
          <w:u w:val="none"/>
        </w:rPr>
        <w:t>万元，占本年支出</w:t>
      </w:r>
      <w:r>
        <w:rPr>
          <w:rFonts w:hint="eastAsia" w:ascii="仿宋" w:hAnsi="仿宋" w:eastAsia="仿宋" w:cs="仿宋"/>
          <w:bCs/>
          <w:kern w:val="44"/>
          <w:sz w:val="32"/>
          <w:szCs w:val="32"/>
          <w:u w:val="none"/>
          <w:lang w:val="en-US" w:eastAsia="zh-CN"/>
        </w:rPr>
        <w:t>19.63</w:t>
      </w:r>
      <w:r>
        <w:rPr>
          <w:rFonts w:hint="eastAsia" w:ascii="仿宋" w:hAnsi="仿宋" w:eastAsia="仿宋" w:cs="仿宋"/>
          <w:bCs/>
          <w:kern w:val="44"/>
          <w:sz w:val="32"/>
          <w:szCs w:val="32"/>
          <w:u w:val="none"/>
        </w:rPr>
        <w:t>%；卫生健康支出（类）</w:t>
      </w:r>
      <w:r>
        <w:rPr>
          <w:rFonts w:hint="eastAsia" w:ascii="仿宋" w:hAnsi="仿宋" w:eastAsia="仿宋" w:cs="仿宋"/>
          <w:bCs/>
          <w:kern w:val="44"/>
          <w:sz w:val="32"/>
          <w:szCs w:val="32"/>
          <w:u w:val="none"/>
          <w:lang w:val="en-US" w:eastAsia="zh-CN"/>
        </w:rPr>
        <w:t>254.74万元</w:t>
      </w:r>
      <w:r>
        <w:rPr>
          <w:rFonts w:hint="eastAsia" w:ascii="仿宋" w:hAnsi="仿宋" w:eastAsia="仿宋" w:cs="仿宋"/>
          <w:bCs/>
          <w:kern w:val="44"/>
          <w:sz w:val="32"/>
          <w:szCs w:val="32"/>
          <w:u w:val="none"/>
        </w:rPr>
        <w:t>，占本年支出</w:t>
      </w:r>
      <w:r>
        <w:rPr>
          <w:rFonts w:hint="eastAsia" w:ascii="仿宋" w:hAnsi="仿宋" w:eastAsia="仿宋" w:cs="仿宋"/>
          <w:bCs/>
          <w:kern w:val="44"/>
          <w:sz w:val="32"/>
          <w:szCs w:val="32"/>
          <w:u w:val="none"/>
          <w:lang w:val="en-US" w:eastAsia="zh-CN"/>
        </w:rPr>
        <w:t>10.93</w:t>
      </w:r>
      <w:r>
        <w:rPr>
          <w:rFonts w:hint="eastAsia" w:ascii="仿宋" w:hAnsi="仿宋" w:eastAsia="仿宋" w:cs="仿宋"/>
          <w:bCs/>
          <w:kern w:val="44"/>
          <w:sz w:val="32"/>
          <w:szCs w:val="32"/>
          <w:u w:val="none"/>
        </w:rPr>
        <w:t>%；住房保障支出(类)</w:t>
      </w:r>
      <w:r>
        <w:rPr>
          <w:rFonts w:hint="eastAsia" w:ascii="仿宋" w:hAnsi="仿宋" w:eastAsia="仿宋" w:cs="仿宋"/>
          <w:bCs/>
          <w:kern w:val="44"/>
          <w:sz w:val="32"/>
          <w:szCs w:val="32"/>
          <w:u w:val="none"/>
          <w:lang w:val="en-US" w:eastAsia="zh-CN"/>
        </w:rPr>
        <w:t>131.3</w:t>
      </w:r>
      <w:r>
        <w:rPr>
          <w:rFonts w:hint="eastAsia" w:ascii="仿宋" w:hAnsi="仿宋" w:eastAsia="仿宋" w:cs="仿宋"/>
          <w:bCs/>
          <w:kern w:val="44"/>
          <w:sz w:val="32"/>
          <w:szCs w:val="32"/>
          <w:u w:val="none"/>
        </w:rPr>
        <w:t>万元，占本年支出</w:t>
      </w:r>
      <w:r>
        <w:rPr>
          <w:rFonts w:hint="eastAsia" w:ascii="仿宋" w:hAnsi="仿宋" w:eastAsia="仿宋" w:cs="仿宋"/>
          <w:bCs/>
          <w:kern w:val="44"/>
          <w:sz w:val="32"/>
          <w:szCs w:val="32"/>
          <w:u w:val="none"/>
          <w:lang w:val="en-US" w:eastAsia="zh-CN"/>
        </w:rPr>
        <w:t>5.63</w:t>
      </w:r>
      <w:r>
        <w:rPr>
          <w:rFonts w:hint="eastAsia" w:ascii="仿宋" w:hAnsi="仿宋" w:eastAsia="仿宋" w:cs="仿宋"/>
          <w:bCs/>
          <w:kern w:val="44"/>
          <w:sz w:val="32"/>
          <w:szCs w:val="32"/>
          <w:u w:val="none"/>
        </w:rPr>
        <w:t>%</w:t>
      </w:r>
      <w:r>
        <w:rPr>
          <w:rFonts w:hint="eastAsia" w:ascii="仿宋" w:hAnsi="仿宋" w:eastAsia="仿宋" w:cs="仿宋"/>
          <w:bCs/>
          <w:kern w:val="44"/>
          <w:sz w:val="32"/>
          <w:szCs w:val="32"/>
          <w:u w:val="none"/>
          <w:lang w:eastAsia="zh-CN"/>
        </w:rPr>
        <w:t>。</w:t>
      </w:r>
    </w:p>
    <w:p>
      <w:pPr>
        <w:numPr>
          <w:ilvl w:val="0"/>
          <w:numId w:val="3"/>
        </w:numPr>
        <w:adjustRightInd w:val="0"/>
        <w:snapToGrid w:val="0"/>
        <w:spacing w:line="560" w:lineRule="atLeast"/>
        <w:ind w:left="640" w:leftChars="0" w:firstLine="0" w:firstLineChars="0"/>
        <w:rPr>
          <w:rFonts w:hint="eastAsia" w:ascii="仿宋" w:hAnsi="仿宋" w:eastAsia="仿宋" w:cs="仿宋"/>
          <w:b/>
          <w:bCs w:val="0"/>
          <w:kern w:val="44"/>
          <w:sz w:val="32"/>
          <w:szCs w:val="32"/>
          <w:u w:val="none"/>
        </w:rPr>
      </w:pPr>
      <w:r>
        <w:rPr>
          <w:rFonts w:hint="eastAsia" w:ascii="仿宋" w:hAnsi="仿宋" w:eastAsia="仿宋" w:cs="仿宋"/>
          <w:b/>
          <w:bCs w:val="0"/>
          <w:kern w:val="44"/>
          <w:sz w:val="32"/>
          <w:szCs w:val="32"/>
          <w:u w:val="none"/>
        </w:rPr>
        <w:t>一般公共预算财政拨款支出具体情况</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w:t>
      </w:r>
      <w:r>
        <w:rPr>
          <w:rFonts w:hint="eastAsia" w:ascii="仿宋" w:hAnsi="仿宋" w:eastAsia="仿宋" w:cs="仿宋"/>
          <w:b/>
          <w:bCs/>
          <w:kern w:val="44"/>
          <w:sz w:val="32"/>
          <w:szCs w:val="32"/>
          <w:u w:val="none"/>
        </w:rPr>
        <w:t>.一般公共服务支出(类)人大事务（款）行政运行（项）。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1188.85</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1188.85</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2</w:t>
      </w:r>
      <w:r>
        <w:rPr>
          <w:rFonts w:hint="eastAsia" w:ascii="仿宋" w:hAnsi="仿宋" w:eastAsia="仿宋" w:cs="仿宋"/>
          <w:b/>
          <w:bCs/>
          <w:kern w:val="44"/>
          <w:sz w:val="32"/>
          <w:szCs w:val="32"/>
          <w:u w:val="none"/>
        </w:rPr>
        <w:t>.一般公共服务支出(类)人大事务（款）一般行政管理事务（项）。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6.66</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6.66</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3</w:t>
      </w:r>
      <w:r>
        <w:rPr>
          <w:rFonts w:hint="eastAsia" w:ascii="仿宋" w:hAnsi="仿宋" w:eastAsia="仿宋" w:cs="仿宋"/>
          <w:b/>
          <w:bCs/>
          <w:kern w:val="44"/>
          <w:sz w:val="32"/>
          <w:szCs w:val="32"/>
          <w:u w:val="none"/>
        </w:rPr>
        <w:t>.一般公共服务支出(类)人大事务（款）人大会议（项）。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66.58</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66.58</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4</w:t>
      </w:r>
      <w:r>
        <w:rPr>
          <w:rFonts w:hint="eastAsia" w:ascii="仿宋" w:hAnsi="仿宋" w:eastAsia="仿宋" w:cs="仿宋"/>
          <w:b/>
          <w:bCs/>
          <w:kern w:val="44"/>
          <w:sz w:val="32"/>
          <w:szCs w:val="32"/>
          <w:u w:val="none"/>
        </w:rPr>
        <w:t>.一般公共服务支出(类)人大事务（款）代表工作（项）。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17.89</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17.89</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5</w:t>
      </w:r>
      <w:r>
        <w:rPr>
          <w:rFonts w:hint="eastAsia" w:ascii="仿宋" w:hAnsi="仿宋" w:eastAsia="仿宋" w:cs="仿宋"/>
          <w:b/>
          <w:bCs/>
          <w:kern w:val="44"/>
          <w:sz w:val="32"/>
          <w:szCs w:val="32"/>
          <w:u w:val="none"/>
        </w:rPr>
        <w:t>.一般公共服务支出(类)人大事务（款）其他人大事务支出（项）。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207.94</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207.94</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6</w:t>
      </w:r>
      <w:r>
        <w:rPr>
          <w:rFonts w:hint="eastAsia" w:ascii="仿宋" w:hAnsi="仿宋" w:eastAsia="仿宋" w:cs="仿宋"/>
          <w:b/>
          <w:bCs/>
          <w:kern w:val="44"/>
          <w:sz w:val="32"/>
          <w:szCs w:val="32"/>
          <w:u w:val="none"/>
        </w:rPr>
        <w:t>.社会保障和就业支出(类)人力资源和社会保障管理事务（款）其他人力资源和社会保障管理事务支出（项）。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11.9</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11.9</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7</w:t>
      </w:r>
      <w:r>
        <w:rPr>
          <w:rFonts w:hint="eastAsia" w:ascii="仿宋" w:hAnsi="仿宋" w:eastAsia="仿宋" w:cs="仿宋"/>
          <w:b/>
          <w:bCs/>
          <w:kern w:val="44"/>
          <w:sz w:val="32"/>
          <w:szCs w:val="32"/>
          <w:u w:val="none"/>
        </w:rPr>
        <w:t>.社会保障和就业支出(类)行政事业单位养老支出（款）行政单位离退休（项）。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293.23</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293.23</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8.</w:t>
      </w:r>
      <w:r>
        <w:rPr>
          <w:rFonts w:hint="eastAsia" w:ascii="仿宋" w:hAnsi="仿宋" w:eastAsia="仿宋" w:cs="仿宋"/>
          <w:b/>
          <w:bCs/>
          <w:kern w:val="44"/>
          <w:sz w:val="32"/>
          <w:szCs w:val="32"/>
          <w:u w:val="none"/>
        </w:rPr>
        <w:t>社会保障和就业支出(类)行政事业单位养老支出（款）机关事业单位基本养老保险缴费支出（项）。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93.85</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93.85</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9</w:t>
      </w:r>
      <w:r>
        <w:rPr>
          <w:rFonts w:hint="eastAsia" w:ascii="仿宋" w:hAnsi="仿宋" w:eastAsia="仿宋" w:cs="仿宋"/>
          <w:b/>
          <w:bCs/>
          <w:kern w:val="44"/>
          <w:sz w:val="32"/>
          <w:szCs w:val="32"/>
          <w:u w:val="none"/>
        </w:rPr>
        <w:t>.社会保障和就业支出(类)抚恤（款）死亡抚恤（项）。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52.28</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52.28</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10</w:t>
      </w:r>
      <w:r>
        <w:rPr>
          <w:rFonts w:hint="eastAsia" w:ascii="仿宋" w:hAnsi="仿宋" w:eastAsia="仿宋" w:cs="仿宋"/>
          <w:b/>
          <w:bCs/>
          <w:kern w:val="44"/>
          <w:sz w:val="32"/>
          <w:szCs w:val="32"/>
          <w:u w:val="none"/>
        </w:rPr>
        <w:t>.社会保障和就业支出(类)其他社会保障和就业支出（款）其他社会保障和就业支出（项）。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6.39</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6.39</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11</w:t>
      </w:r>
      <w:r>
        <w:rPr>
          <w:rFonts w:hint="eastAsia" w:ascii="仿宋" w:hAnsi="仿宋" w:eastAsia="仿宋" w:cs="仿宋"/>
          <w:b/>
          <w:bCs/>
          <w:kern w:val="44"/>
          <w:sz w:val="32"/>
          <w:szCs w:val="32"/>
          <w:u w:val="none"/>
        </w:rPr>
        <w:t>.卫生健康支出(类)行政事业单位医疗（款）行政单位医疗（项）。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171.64</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171.64</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12</w:t>
      </w:r>
      <w:r>
        <w:rPr>
          <w:rFonts w:hint="eastAsia" w:ascii="仿宋" w:hAnsi="仿宋" w:eastAsia="仿宋" w:cs="仿宋"/>
          <w:b/>
          <w:bCs/>
          <w:kern w:val="44"/>
          <w:sz w:val="32"/>
          <w:szCs w:val="32"/>
          <w:u w:val="none"/>
        </w:rPr>
        <w:t>.卫生健康支出(类)行政事业单位医疗（款）公务员医疗补助（项）。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83.1</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83.1</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13</w:t>
      </w:r>
      <w:r>
        <w:rPr>
          <w:rFonts w:hint="eastAsia" w:ascii="仿宋" w:hAnsi="仿宋" w:eastAsia="仿宋" w:cs="仿宋"/>
          <w:b/>
          <w:bCs/>
          <w:kern w:val="44"/>
          <w:sz w:val="32"/>
          <w:szCs w:val="32"/>
          <w:u w:val="none"/>
        </w:rPr>
        <w:t>.住房保障支出(类)住房改革支出（款）住房公积金（项）。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130.77</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130.77</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lang w:val="en-US" w:eastAsia="zh-CN"/>
        </w:rPr>
        <w:t>14</w:t>
      </w:r>
      <w:r>
        <w:rPr>
          <w:rFonts w:hint="eastAsia" w:ascii="仿宋" w:hAnsi="仿宋" w:eastAsia="仿宋" w:cs="仿宋"/>
          <w:b/>
          <w:bCs/>
          <w:kern w:val="44"/>
          <w:sz w:val="32"/>
          <w:szCs w:val="32"/>
          <w:u w:val="none"/>
        </w:rPr>
        <w:t>.住房保障支出(类)住房改革支出（款）提租补贴（项）。</w:t>
      </w:r>
      <w:r>
        <w:rPr>
          <w:rFonts w:hint="eastAsia" w:ascii="仿宋" w:hAnsi="仿宋" w:eastAsia="仿宋" w:cs="仿宋"/>
          <w:bCs/>
          <w:kern w:val="44"/>
          <w:sz w:val="32"/>
          <w:szCs w:val="32"/>
          <w:u w:val="none"/>
        </w:rPr>
        <w:t>年度预算为</w:t>
      </w:r>
      <w:r>
        <w:rPr>
          <w:rFonts w:hint="eastAsia" w:ascii="仿宋" w:hAnsi="仿宋" w:eastAsia="仿宋" w:cs="仿宋"/>
          <w:bCs/>
          <w:kern w:val="44"/>
          <w:sz w:val="32"/>
          <w:szCs w:val="32"/>
          <w:u w:val="none"/>
          <w:lang w:val="en-US" w:eastAsia="zh-CN"/>
        </w:rPr>
        <w:t>0.53</w:t>
      </w:r>
      <w:r>
        <w:rPr>
          <w:rFonts w:hint="eastAsia" w:ascii="仿宋" w:hAnsi="仿宋" w:eastAsia="仿宋" w:cs="仿宋"/>
          <w:bCs/>
          <w:kern w:val="44"/>
          <w:sz w:val="32"/>
          <w:szCs w:val="32"/>
          <w:u w:val="none"/>
        </w:rPr>
        <w:t>万元，支出决算为</w:t>
      </w:r>
      <w:r>
        <w:rPr>
          <w:rFonts w:hint="eastAsia" w:ascii="仿宋" w:hAnsi="仿宋" w:eastAsia="仿宋" w:cs="仿宋"/>
          <w:bCs/>
          <w:kern w:val="44"/>
          <w:sz w:val="32"/>
          <w:szCs w:val="32"/>
          <w:u w:val="none"/>
          <w:lang w:val="en-US" w:eastAsia="zh-CN"/>
        </w:rPr>
        <w:t>0.53</w:t>
      </w:r>
      <w:r>
        <w:rPr>
          <w:rFonts w:hint="eastAsia" w:ascii="仿宋" w:hAnsi="仿宋" w:eastAsia="仿宋" w:cs="仿宋"/>
          <w:bCs/>
          <w:kern w:val="44"/>
          <w:sz w:val="32"/>
          <w:szCs w:val="32"/>
          <w:u w:val="none"/>
        </w:rPr>
        <w:t>万元，完成年</w:t>
      </w:r>
      <w:r>
        <w:rPr>
          <w:rFonts w:hint="eastAsia" w:ascii="仿宋" w:hAnsi="仿宋" w:eastAsia="仿宋" w:cs="仿宋"/>
          <w:bCs/>
          <w:kern w:val="44"/>
          <w:sz w:val="32"/>
          <w:szCs w:val="32"/>
          <w:u w:val="none"/>
          <w:lang w:eastAsia="zh-CN"/>
        </w:rPr>
        <w:t>度</w:t>
      </w:r>
      <w:r>
        <w:rPr>
          <w:rFonts w:hint="eastAsia" w:ascii="仿宋" w:hAnsi="仿宋" w:eastAsia="仿宋" w:cs="仿宋"/>
          <w:bCs/>
          <w:kern w:val="44"/>
          <w:sz w:val="32"/>
          <w:szCs w:val="32"/>
          <w:u w:val="none"/>
        </w:rPr>
        <w:t>预算的</w:t>
      </w:r>
      <w:r>
        <w:rPr>
          <w:rFonts w:hint="eastAsia" w:ascii="仿宋" w:hAnsi="仿宋" w:eastAsia="仿宋" w:cs="仿宋"/>
          <w:bCs/>
          <w:kern w:val="44"/>
          <w:sz w:val="32"/>
          <w:szCs w:val="32"/>
          <w:u w:val="none"/>
          <w:lang w:val="en-US" w:eastAsia="zh-CN"/>
        </w:rPr>
        <w:t>100</w:t>
      </w:r>
      <w:r>
        <w:rPr>
          <w:rFonts w:hint="eastAsia" w:ascii="仿宋" w:hAnsi="仿宋" w:eastAsia="仿宋" w:cs="仿宋"/>
          <w:bCs/>
          <w:kern w:val="44"/>
          <w:sz w:val="32"/>
          <w:szCs w:val="32"/>
          <w:u w:val="none"/>
        </w:rPr>
        <w:t>%。</w:t>
      </w:r>
    </w:p>
    <w:p>
      <w:pPr>
        <w:pStyle w:val="8"/>
        <w:ind w:firstLine="643" w:firstLineChars="200"/>
        <w:jc w:val="both"/>
        <w:rPr>
          <w:rFonts w:hint="eastAsia" w:ascii="仿宋" w:hAnsi="仿宋" w:eastAsia="仿宋" w:cs="仿宋"/>
          <w:b/>
          <w:color w:val="auto"/>
          <w:sz w:val="32"/>
          <w:szCs w:val="32"/>
          <w:u w:val="none"/>
        </w:rPr>
      </w:pPr>
      <w:r>
        <w:rPr>
          <w:rFonts w:hint="eastAsia" w:ascii="仿宋" w:hAnsi="仿宋" w:eastAsia="仿宋" w:cs="仿宋"/>
          <w:b/>
          <w:color w:val="auto"/>
          <w:sz w:val="32"/>
          <w:szCs w:val="32"/>
          <w:u w:val="none"/>
        </w:rPr>
        <w:t>六、</w:t>
      </w:r>
      <w:r>
        <w:rPr>
          <w:rFonts w:hint="eastAsia" w:ascii="仿宋" w:hAnsi="仿宋" w:eastAsia="仿宋" w:cs="仿宋"/>
          <w:b/>
          <w:bCs/>
          <w:sz w:val="32"/>
          <w:szCs w:val="32"/>
          <w:u w:val="none"/>
          <w:lang w:eastAsia="zh-CN"/>
        </w:rPr>
        <w:t>2021</w:t>
      </w:r>
      <w:r>
        <w:rPr>
          <w:rFonts w:hint="eastAsia" w:ascii="仿宋" w:hAnsi="仿宋" w:eastAsia="仿宋" w:cs="仿宋"/>
          <w:b/>
          <w:bCs/>
          <w:sz w:val="32"/>
          <w:szCs w:val="32"/>
          <w:u w:val="none"/>
        </w:rPr>
        <w:t>年度</w:t>
      </w:r>
      <w:r>
        <w:rPr>
          <w:rFonts w:hint="eastAsia" w:ascii="仿宋" w:hAnsi="仿宋" w:eastAsia="仿宋" w:cs="仿宋"/>
          <w:b/>
          <w:bCs/>
          <w:color w:val="auto"/>
          <w:sz w:val="32"/>
          <w:szCs w:val="32"/>
          <w:u w:val="none"/>
        </w:rPr>
        <w:t>一般公共预算财政拨款基本支出决算</w:t>
      </w:r>
      <w:r>
        <w:rPr>
          <w:rFonts w:hint="eastAsia" w:ascii="仿宋" w:hAnsi="仿宋" w:eastAsia="仿宋" w:cs="仿宋"/>
          <w:b/>
          <w:color w:val="auto"/>
          <w:sz w:val="32"/>
          <w:szCs w:val="32"/>
          <w:u w:val="none"/>
        </w:rPr>
        <w:t>情况说明</w:t>
      </w:r>
    </w:p>
    <w:p>
      <w:pPr>
        <w:adjustRightInd w:val="0"/>
        <w:snapToGrid w:val="0"/>
        <w:spacing w:line="560" w:lineRule="atLeast"/>
        <w:ind w:firstLine="640" w:firstLineChars="200"/>
        <w:rPr>
          <w:rFonts w:hint="eastAsia" w:ascii="仿宋" w:hAnsi="仿宋" w:eastAsia="仿宋" w:cs="仿宋"/>
          <w:bCs/>
          <w:kern w:val="44"/>
          <w:sz w:val="32"/>
          <w:szCs w:val="32"/>
          <w:u w:val="none"/>
        </w:rPr>
      </w:pP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度一般公共预算财政拨款基本支出</w:t>
      </w:r>
      <w:r>
        <w:rPr>
          <w:rFonts w:hint="eastAsia" w:ascii="仿宋" w:hAnsi="仿宋" w:eastAsia="仿宋" w:cs="仿宋"/>
          <w:b/>
          <w:bCs w:val="0"/>
          <w:kern w:val="44"/>
          <w:sz w:val="32"/>
          <w:szCs w:val="32"/>
          <w:u w:val="none"/>
          <w:lang w:val="en-US" w:eastAsia="zh-CN"/>
        </w:rPr>
        <w:t>1890.6</w:t>
      </w:r>
      <w:r>
        <w:rPr>
          <w:rFonts w:hint="eastAsia" w:ascii="仿宋" w:hAnsi="仿宋" w:eastAsia="仿宋" w:cs="仿宋"/>
          <w:bCs/>
          <w:kern w:val="44"/>
          <w:sz w:val="32"/>
          <w:szCs w:val="32"/>
          <w:u w:val="none"/>
        </w:rPr>
        <w:t>万元，其中:</w:t>
      </w:r>
    </w:p>
    <w:p>
      <w:pPr>
        <w:adjustRightInd w:val="0"/>
        <w:snapToGrid w:val="0"/>
        <w:spacing w:line="560" w:lineRule="atLeast"/>
        <w:ind w:firstLine="643" w:firstLineChars="200"/>
        <w:rPr>
          <w:rFonts w:hint="eastAsia" w:ascii="仿宋" w:hAnsi="仿宋" w:eastAsia="仿宋" w:cs="仿宋"/>
          <w:bCs/>
          <w:kern w:val="44"/>
          <w:sz w:val="32"/>
          <w:szCs w:val="32"/>
          <w:u w:val="none"/>
          <w:lang w:val="en-US" w:eastAsia="zh-CN"/>
        </w:rPr>
      </w:pPr>
      <w:r>
        <w:rPr>
          <w:rFonts w:hint="eastAsia" w:ascii="仿宋" w:hAnsi="仿宋" w:eastAsia="仿宋" w:cs="仿宋"/>
          <w:b/>
          <w:bCs/>
          <w:kern w:val="44"/>
          <w:sz w:val="32"/>
          <w:szCs w:val="32"/>
          <w:u w:val="none"/>
        </w:rPr>
        <w:t>人员经费</w:t>
      </w:r>
      <w:r>
        <w:rPr>
          <w:rFonts w:hint="eastAsia" w:ascii="仿宋" w:hAnsi="仿宋" w:eastAsia="仿宋" w:cs="仿宋"/>
          <w:b/>
          <w:bCs/>
          <w:kern w:val="44"/>
          <w:sz w:val="32"/>
          <w:szCs w:val="32"/>
          <w:u w:val="none"/>
          <w:lang w:val="en-US" w:eastAsia="zh-CN"/>
        </w:rPr>
        <w:t>1702.52</w:t>
      </w:r>
      <w:r>
        <w:rPr>
          <w:rFonts w:hint="eastAsia" w:ascii="仿宋" w:hAnsi="仿宋" w:eastAsia="仿宋" w:cs="仿宋"/>
          <w:bCs/>
          <w:kern w:val="44"/>
          <w:sz w:val="32"/>
          <w:szCs w:val="32"/>
          <w:u w:val="none"/>
        </w:rPr>
        <w:t>万元，主要包括：基本工资</w:t>
      </w:r>
      <w:r>
        <w:rPr>
          <w:rFonts w:hint="eastAsia" w:ascii="仿宋" w:hAnsi="仿宋" w:eastAsia="仿宋" w:cs="仿宋"/>
          <w:bCs/>
          <w:kern w:val="44"/>
          <w:sz w:val="32"/>
          <w:szCs w:val="32"/>
          <w:u w:val="none"/>
          <w:lang w:val="en-US" w:eastAsia="zh-CN"/>
        </w:rPr>
        <w:t>243.71万元</w:t>
      </w:r>
      <w:r>
        <w:rPr>
          <w:rFonts w:hint="eastAsia" w:ascii="仿宋" w:hAnsi="仿宋" w:eastAsia="仿宋" w:cs="仿宋"/>
          <w:bCs/>
          <w:kern w:val="44"/>
          <w:sz w:val="32"/>
          <w:szCs w:val="32"/>
          <w:u w:val="none"/>
        </w:rPr>
        <w:t>、津贴补贴</w:t>
      </w:r>
      <w:r>
        <w:rPr>
          <w:rFonts w:hint="eastAsia" w:ascii="仿宋" w:hAnsi="仿宋" w:eastAsia="仿宋" w:cs="仿宋"/>
          <w:bCs/>
          <w:kern w:val="44"/>
          <w:sz w:val="32"/>
          <w:szCs w:val="32"/>
          <w:u w:val="none"/>
          <w:lang w:val="en-US" w:eastAsia="zh-CN"/>
        </w:rPr>
        <w:t>158.9万元</w:t>
      </w:r>
      <w:r>
        <w:rPr>
          <w:rFonts w:hint="eastAsia" w:ascii="仿宋" w:hAnsi="仿宋" w:eastAsia="仿宋" w:cs="仿宋"/>
          <w:bCs/>
          <w:kern w:val="44"/>
          <w:sz w:val="32"/>
          <w:szCs w:val="32"/>
          <w:u w:val="none"/>
        </w:rPr>
        <w:t>、</w:t>
      </w:r>
      <w:r>
        <w:rPr>
          <w:rFonts w:hint="eastAsia" w:ascii="仿宋" w:hAnsi="仿宋" w:eastAsia="仿宋" w:cs="仿宋"/>
          <w:bCs/>
          <w:kern w:val="44"/>
          <w:sz w:val="32"/>
          <w:szCs w:val="32"/>
          <w:u w:val="none"/>
          <w:lang w:val="en-US" w:eastAsia="zh-CN"/>
        </w:rPr>
        <w:t>奖金</w:t>
      </w:r>
      <w:r>
        <w:rPr>
          <w:rFonts w:hint="eastAsia" w:ascii="仿宋" w:hAnsi="仿宋" w:eastAsia="仿宋" w:cs="仿宋"/>
          <w:bCs/>
          <w:kern w:val="44"/>
          <w:sz w:val="32"/>
          <w:szCs w:val="32"/>
          <w:u w:val="none"/>
        </w:rPr>
        <w:t>450.96</w:t>
      </w:r>
      <w:r>
        <w:rPr>
          <w:rFonts w:hint="eastAsia" w:ascii="仿宋" w:hAnsi="仿宋" w:eastAsia="仿宋" w:cs="仿宋"/>
          <w:bCs/>
          <w:kern w:val="44"/>
          <w:sz w:val="32"/>
          <w:szCs w:val="32"/>
          <w:u w:val="none"/>
          <w:lang w:val="en-US" w:eastAsia="zh-CN"/>
        </w:rPr>
        <w:t>万元、绩效工资13.03万元、</w:t>
      </w:r>
      <w:r>
        <w:rPr>
          <w:rFonts w:hint="eastAsia" w:ascii="仿宋" w:hAnsi="仿宋" w:eastAsia="仿宋" w:cs="仿宋"/>
          <w:bCs/>
          <w:kern w:val="44"/>
          <w:sz w:val="32"/>
          <w:szCs w:val="32"/>
          <w:u w:val="none"/>
        </w:rPr>
        <w:t>机关事业单位基本养老保险缴费</w:t>
      </w:r>
      <w:r>
        <w:rPr>
          <w:rFonts w:hint="eastAsia" w:ascii="仿宋" w:hAnsi="仿宋" w:eastAsia="仿宋" w:cs="仿宋"/>
          <w:bCs/>
          <w:kern w:val="44"/>
          <w:sz w:val="32"/>
          <w:szCs w:val="32"/>
          <w:u w:val="none"/>
          <w:lang w:val="en-US" w:eastAsia="zh-CN"/>
        </w:rPr>
        <w:t>78.79万元</w:t>
      </w:r>
      <w:r>
        <w:rPr>
          <w:rFonts w:hint="eastAsia" w:ascii="仿宋" w:hAnsi="仿宋" w:eastAsia="仿宋" w:cs="仿宋"/>
          <w:bCs/>
          <w:kern w:val="44"/>
          <w:sz w:val="32"/>
          <w:szCs w:val="32"/>
          <w:u w:val="none"/>
        </w:rPr>
        <w:t>、职业年金缴费16.36</w:t>
      </w:r>
      <w:r>
        <w:rPr>
          <w:rFonts w:hint="eastAsia" w:ascii="仿宋" w:hAnsi="仿宋" w:eastAsia="仿宋" w:cs="仿宋"/>
          <w:bCs/>
          <w:kern w:val="44"/>
          <w:sz w:val="32"/>
          <w:szCs w:val="32"/>
          <w:u w:val="none"/>
          <w:lang w:val="en-US" w:eastAsia="zh-CN"/>
        </w:rPr>
        <w:t>万元、</w:t>
      </w:r>
      <w:r>
        <w:rPr>
          <w:rFonts w:hint="eastAsia" w:ascii="仿宋" w:hAnsi="仿宋" w:eastAsia="仿宋" w:cs="仿宋"/>
          <w:bCs/>
          <w:kern w:val="44"/>
          <w:sz w:val="32"/>
          <w:szCs w:val="32"/>
          <w:u w:val="none"/>
        </w:rPr>
        <w:t>职工基本医疗保险缴费</w:t>
      </w:r>
      <w:r>
        <w:rPr>
          <w:rFonts w:hint="eastAsia" w:ascii="仿宋" w:hAnsi="仿宋" w:eastAsia="仿宋" w:cs="仿宋"/>
          <w:bCs/>
          <w:kern w:val="44"/>
          <w:sz w:val="32"/>
          <w:szCs w:val="32"/>
          <w:u w:val="none"/>
          <w:lang w:val="en-US" w:eastAsia="zh-CN"/>
        </w:rPr>
        <w:t>89.12万元、</w:t>
      </w:r>
      <w:r>
        <w:rPr>
          <w:rFonts w:hint="eastAsia" w:ascii="仿宋" w:hAnsi="仿宋" w:eastAsia="仿宋" w:cs="仿宋"/>
          <w:bCs/>
          <w:kern w:val="44"/>
          <w:sz w:val="32"/>
          <w:szCs w:val="32"/>
          <w:u w:val="none"/>
        </w:rPr>
        <w:t>其他社会保障缴费</w:t>
      </w:r>
      <w:r>
        <w:rPr>
          <w:rFonts w:hint="eastAsia" w:ascii="仿宋" w:hAnsi="仿宋" w:eastAsia="仿宋" w:cs="仿宋"/>
          <w:bCs/>
          <w:kern w:val="44"/>
          <w:sz w:val="32"/>
          <w:szCs w:val="32"/>
          <w:u w:val="none"/>
          <w:lang w:val="en-US" w:eastAsia="zh-CN"/>
        </w:rPr>
        <w:t>111.14万元</w:t>
      </w:r>
      <w:r>
        <w:rPr>
          <w:rFonts w:hint="eastAsia" w:ascii="仿宋" w:hAnsi="仿宋" w:eastAsia="仿宋" w:cs="仿宋"/>
          <w:bCs/>
          <w:kern w:val="44"/>
          <w:sz w:val="32"/>
          <w:szCs w:val="32"/>
          <w:u w:val="none"/>
        </w:rPr>
        <w:t>、住房公积金</w:t>
      </w:r>
      <w:r>
        <w:rPr>
          <w:rFonts w:hint="eastAsia" w:ascii="仿宋" w:hAnsi="仿宋" w:eastAsia="仿宋" w:cs="仿宋"/>
          <w:bCs/>
          <w:kern w:val="44"/>
          <w:sz w:val="32"/>
          <w:szCs w:val="32"/>
          <w:u w:val="none"/>
          <w:lang w:val="en-US" w:eastAsia="zh-CN"/>
        </w:rPr>
        <w:t>203.74万元、离休费26.4万元、退休费261.79万元、医疗费补助46.96万元、 奖励金1.61万元。</w:t>
      </w:r>
    </w:p>
    <w:p>
      <w:p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rPr>
        <w:t>公用经费</w:t>
      </w:r>
      <w:r>
        <w:rPr>
          <w:rFonts w:hint="eastAsia" w:ascii="仿宋" w:hAnsi="仿宋" w:eastAsia="仿宋" w:cs="仿宋"/>
          <w:b/>
          <w:bCs w:val="0"/>
          <w:kern w:val="44"/>
          <w:sz w:val="32"/>
          <w:szCs w:val="32"/>
          <w:u w:val="none"/>
          <w:lang w:val="en-US" w:eastAsia="zh-CN"/>
        </w:rPr>
        <w:t>188.08</w:t>
      </w:r>
      <w:r>
        <w:rPr>
          <w:rFonts w:hint="eastAsia" w:ascii="仿宋" w:hAnsi="仿宋" w:eastAsia="仿宋" w:cs="仿宋"/>
          <w:bCs/>
          <w:kern w:val="44"/>
          <w:sz w:val="32"/>
          <w:szCs w:val="32"/>
          <w:u w:val="none"/>
        </w:rPr>
        <w:t>万元，主要包括：办公费8.78</w:t>
      </w:r>
      <w:r>
        <w:rPr>
          <w:rFonts w:hint="eastAsia" w:ascii="仿宋" w:hAnsi="仿宋" w:eastAsia="仿宋" w:cs="仿宋"/>
          <w:bCs/>
          <w:kern w:val="44"/>
          <w:sz w:val="32"/>
          <w:szCs w:val="32"/>
          <w:u w:val="none"/>
          <w:lang w:val="en-US" w:eastAsia="zh-CN"/>
        </w:rPr>
        <w:t>万元、咨询费8万元、邮电费2.87万元、维修（护）费0.59万元、会议费0.57万元、公务接待费0.12万元、劳务费18.62万元、委托业务费58.9万元、</w:t>
      </w:r>
      <w:r>
        <w:rPr>
          <w:rFonts w:hint="eastAsia" w:ascii="仿宋" w:hAnsi="仿宋" w:eastAsia="仿宋" w:cs="仿宋"/>
          <w:bCs/>
          <w:kern w:val="44"/>
          <w:sz w:val="32"/>
          <w:szCs w:val="32"/>
          <w:u w:val="none"/>
        </w:rPr>
        <w:t>福利费</w:t>
      </w:r>
      <w:r>
        <w:rPr>
          <w:rFonts w:hint="eastAsia" w:ascii="仿宋" w:hAnsi="仿宋" w:eastAsia="仿宋" w:cs="仿宋"/>
          <w:bCs/>
          <w:kern w:val="44"/>
          <w:sz w:val="32"/>
          <w:szCs w:val="32"/>
          <w:u w:val="none"/>
          <w:lang w:val="en-US" w:eastAsia="zh-CN"/>
        </w:rPr>
        <w:t>40.42万元、公务用车运行维护费9.11万元、其他交通费用38.28万元、办公设备购置1.83万元。</w:t>
      </w:r>
    </w:p>
    <w:p>
      <w:pPr>
        <w:adjustRightInd w:val="0"/>
        <w:snapToGrid w:val="0"/>
        <w:spacing w:line="560" w:lineRule="atLeast"/>
        <w:ind w:firstLine="643" w:firstLineChars="200"/>
        <w:rPr>
          <w:rFonts w:hint="eastAsia" w:ascii="仿宋" w:hAnsi="仿宋" w:eastAsia="仿宋" w:cs="仿宋"/>
          <w:b/>
          <w:sz w:val="32"/>
          <w:szCs w:val="32"/>
          <w:u w:val="none"/>
        </w:rPr>
      </w:pPr>
      <w:r>
        <w:rPr>
          <w:rFonts w:hint="eastAsia" w:ascii="仿宋" w:hAnsi="仿宋" w:eastAsia="仿宋" w:cs="仿宋"/>
          <w:b/>
          <w:sz w:val="32"/>
          <w:szCs w:val="32"/>
          <w:u w:val="none"/>
        </w:rPr>
        <w:t>七、</w:t>
      </w:r>
      <w:r>
        <w:rPr>
          <w:rFonts w:hint="eastAsia" w:ascii="仿宋" w:hAnsi="仿宋" w:eastAsia="仿宋" w:cs="仿宋"/>
          <w:b/>
          <w:sz w:val="32"/>
          <w:szCs w:val="32"/>
          <w:u w:val="none"/>
          <w:lang w:eastAsia="zh-CN"/>
        </w:rPr>
        <w:t>2021</w:t>
      </w:r>
      <w:r>
        <w:rPr>
          <w:rFonts w:hint="eastAsia" w:ascii="仿宋" w:hAnsi="仿宋" w:eastAsia="仿宋" w:cs="仿宋"/>
          <w:b/>
          <w:sz w:val="32"/>
          <w:szCs w:val="32"/>
          <w:u w:val="none"/>
        </w:rPr>
        <w:t>年度一般公共预算财政拨款“三公”经费支出决算情况说明</w:t>
      </w:r>
    </w:p>
    <w:p>
      <w:pPr>
        <w:adjustRightInd w:val="0"/>
        <w:snapToGrid w:val="0"/>
        <w:spacing w:line="560" w:lineRule="atLeast"/>
        <w:ind w:firstLine="643" w:firstLineChars="200"/>
        <w:rPr>
          <w:rFonts w:hint="eastAsia" w:ascii="仿宋" w:hAnsi="仿宋" w:eastAsia="仿宋" w:cs="仿宋"/>
          <w:b/>
          <w:color w:val="000000"/>
          <w:sz w:val="32"/>
          <w:szCs w:val="32"/>
          <w:u w:val="none"/>
        </w:rPr>
      </w:pPr>
      <w:r>
        <w:rPr>
          <w:rFonts w:hint="eastAsia" w:ascii="仿宋" w:hAnsi="仿宋" w:eastAsia="仿宋" w:cs="仿宋"/>
          <w:b/>
          <w:color w:val="000000"/>
          <w:sz w:val="32"/>
          <w:szCs w:val="32"/>
          <w:u w:val="none"/>
        </w:rPr>
        <w:t>（一）“三公”经费的单位范围</w:t>
      </w:r>
    </w:p>
    <w:p>
      <w:pPr>
        <w:widowControl/>
        <w:adjustRightInd w:val="0"/>
        <w:snapToGrid w:val="0"/>
        <w:spacing w:line="560" w:lineRule="atLeast"/>
        <w:ind w:firstLine="640" w:firstLineChars="200"/>
        <w:rPr>
          <w:rFonts w:hint="eastAsia" w:ascii="仿宋" w:hAnsi="仿宋" w:eastAsia="仿宋" w:cs="仿宋"/>
          <w:color w:val="000000"/>
          <w:kern w:val="0"/>
          <w:sz w:val="32"/>
          <w:szCs w:val="32"/>
          <w:u w:val="none"/>
        </w:rPr>
      </w:pPr>
      <w:r>
        <w:rPr>
          <w:rFonts w:hint="eastAsia" w:ascii="仿宋" w:hAnsi="仿宋" w:eastAsia="仿宋" w:cs="仿宋"/>
          <w:color w:val="000000"/>
          <w:kern w:val="0"/>
          <w:sz w:val="32"/>
          <w:szCs w:val="32"/>
          <w:u w:val="none"/>
        </w:rPr>
        <w:t>我部门（单位）涉及一般公共预算财政拨款“三公”经费支出的单位包括</w:t>
      </w: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color w:val="000000"/>
          <w:kern w:val="0"/>
          <w:sz w:val="32"/>
          <w:szCs w:val="32"/>
          <w:u w:val="none"/>
        </w:rPr>
        <w:t>本级及下属单位，共计</w:t>
      </w:r>
      <w:r>
        <w:rPr>
          <w:rFonts w:hint="eastAsia" w:ascii="仿宋" w:hAnsi="仿宋" w:eastAsia="仿宋" w:cs="仿宋"/>
          <w:color w:val="000000"/>
          <w:kern w:val="0"/>
          <w:sz w:val="32"/>
          <w:szCs w:val="32"/>
          <w:u w:val="none"/>
          <w:lang w:val="en-US" w:eastAsia="zh-CN"/>
        </w:rPr>
        <w:t>1</w:t>
      </w:r>
      <w:r>
        <w:rPr>
          <w:rFonts w:hint="eastAsia" w:ascii="仿宋" w:hAnsi="仿宋" w:eastAsia="仿宋" w:cs="仿宋"/>
          <w:color w:val="000000"/>
          <w:kern w:val="0"/>
          <w:sz w:val="32"/>
          <w:szCs w:val="32"/>
          <w:u w:val="none"/>
        </w:rPr>
        <w:t>个行政单位、</w:t>
      </w:r>
      <w:r>
        <w:rPr>
          <w:rFonts w:hint="eastAsia" w:ascii="仿宋" w:hAnsi="仿宋" w:eastAsia="仿宋" w:cs="仿宋"/>
          <w:color w:val="000000"/>
          <w:kern w:val="0"/>
          <w:sz w:val="32"/>
          <w:szCs w:val="32"/>
          <w:u w:val="none"/>
          <w:lang w:val="en-US" w:eastAsia="zh-CN"/>
        </w:rPr>
        <w:t>0</w:t>
      </w:r>
      <w:r>
        <w:rPr>
          <w:rFonts w:hint="eastAsia" w:ascii="仿宋" w:hAnsi="仿宋" w:eastAsia="仿宋" w:cs="仿宋"/>
          <w:color w:val="000000"/>
          <w:kern w:val="0"/>
          <w:sz w:val="32"/>
          <w:szCs w:val="32"/>
          <w:u w:val="none"/>
        </w:rPr>
        <w:t>个参公事业单位、</w:t>
      </w:r>
      <w:r>
        <w:rPr>
          <w:rFonts w:hint="eastAsia" w:ascii="仿宋" w:hAnsi="仿宋" w:eastAsia="仿宋" w:cs="仿宋"/>
          <w:color w:val="000000"/>
          <w:kern w:val="0"/>
          <w:sz w:val="32"/>
          <w:szCs w:val="32"/>
          <w:u w:val="none"/>
          <w:lang w:val="en-US" w:eastAsia="zh-CN"/>
        </w:rPr>
        <w:t>0</w:t>
      </w:r>
      <w:r>
        <w:rPr>
          <w:rFonts w:hint="eastAsia" w:ascii="仿宋" w:hAnsi="仿宋" w:eastAsia="仿宋" w:cs="仿宋"/>
          <w:color w:val="000000"/>
          <w:kern w:val="0"/>
          <w:sz w:val="32"/>
          <w:szCs w:val="32"/>
          <w:u w:val="none"/>
        </w:rPr>
        <w:t>个全额拨款事业单位。</w:t>
      </w:r>
    </w:p>
    <w:p>
      <w:pPr>
        <w:adjustRightInd w:val="0"/>
        <w:snapToGrid w:val="0"/>
        <w:spacing w:line="560" w:lineRule="atLeast"/>
        <w:ind w:firstLine="643" w:firstLineChars="200"/>
        <w:rPr>
          <w:rFonts w:hint="eastAsia" w:ascii="仿宋" w:hAnsi="仿宋" w:eastAsia="仿宋" w:cs="仿宋"/>
          <w:color w:val="000000"/>
          <w:sz w:val="32"/>
          <w:szCs w:val="32"/>
          <w:u w:val="none"/>
        </w:rPr>
      </w:pPr>
      <w:r>
        <w:rPr>
          <w:rFonts w:hint="eastAsia" w:ascii="仿宋" w:hAnsi="仿宋" w:eastAsia="仿宋" w:cs="仿宋"/>
          <w:b/>
          <w:color w:val="000000"/>
          <w:sz w:val="32"/>
          <w:szCs w:val="32"/>
          <w:u w:val="none"/>
        </w:rPr>
        <w:t>(二)</w:t>
      </w:r>
      <w:r>
        <w:rPr>
          <w:rFonts w:hint="eastAsia" w:ascii="仿宋" w:hAnsi="仿宋" w:eastAsia="仿宋" w:cs="仿宋"/>
          <w:b/>
          <w:sz w:val="32"/>
          <w:szCs w:val="32"/>
          <w:u w:val="none"/>
        </w:rPr>
        <w:t>一般公共预算财政拨款“三公”经费支出决算情况</w:t>
      </w:r>
    </w:p>
    <w:p>
      <w:pPr>
        <w:adjustRightInd w:val="0"/>
        <w:snapToGrid w:val="0"/>
        <w:spacing w:line="580" w:lineRule="atLeast"/>
        <w:ind w:firstLine="640" w:firstLineChars="200"/>
        <w:rPr>
          <w:rFonts w:hint="default" w:ascii="仿宋" w:hAnsi="仿宋" w:eastAsia="仿宋" w:cs="仿宋"/>
          <w:color w:val="000000"/>
          <w:sz w:val="32"/>
          <w:szCs w:val="32"/>
          <w:highlight w:val="none"/>
          <w:u w:val="none"/>
          <w:lang w:val="en-US" w:eastAsia="zh-CN"/>
        </w:rPr>
      </w:pPr>
      <w:r>
        <w:rPr>
          <w:rFonts w:hint="eastAsia" w:ascii="仿宋" w:hAnsi="仿宋" w:eastAsia="仿宋" w:cs="仿宋"/>
          <w:color w:val="000000"/>
          <w:sz w:val="32"/>
          <w:szCs w:val="32"/>
          <w:u w:val="none"/>
          <w:lang w:eastAsia="zh-CN"/>
        </w:rPr>
        <w:t>2021</w:t>
      </w:r>
      <w:r>
        <w:rPr>
          <w:rFonts w:hint="eastAsia" w:ascii="仿宋" w:hAnsi="仿宋" w:eastAsia="仿宋" w:cs="仿宋"/>
          <w:color w:val="000000"/>
          <w:sz w:val="32"/>
          <w:szCs w:val="32"/>
          <w:u w:val="none"/>
        </w:rPr>
        <w:t>年度“三公”经费财政拨款支出决算为</w:t>
      </w:r>
      <w:r>
        <w:rPr>
          <w:rFonts w:hint="eastAsia" w:ascii="仿宋" w:hAnsi="仿宋" w:eastAsia="仿宋" w:cs="仿宋"/>
          <w:color w:val="000000"/>
          <w:sz w:val="32"/>
          <w:szCs w:val="32"/>
          <w:u w:val="none"/>
          <w:lang w:val="en-US" w:eastAsia="zh-CN"/>
        </w:rPr>
        <w:t>12.16</w:t>
      </w:r>
      <w:r>
        <w:rPr>
          <w:rFonts w:hint="eastAsia" w:ascii="仿宋" w:hAnsi="仿宋" w:eastAsia="仿宋" w:cs="仿宋"/>
          <w:color w:val="000000"/>
          <w:sz w:val="32"/>
          <w:szCs w:val="32"/>
          <w:u w:val="none"/>
        </w:rPr>
        <w:t>万元，占预算数的</w:t>
      </w:r>
      <w:r>
        <w:rPr>
          <w:rFonts w:hint="eastAsia" w:ascii="仿宋" w:hAnsi="仿宋" w:eastAsia="仿宋" w:cs="仿宋"/>
          <w:color w:val="000000"/>
          <w:sz w:val="32"/>
          <w:szCs w:val="32"/>
          <w:u w:val="none"/>
          <w:lang w:val="en-US" w:eastAsia="zh-CN"/>
        </w:rPr>
        <w:t>42.67</w:t>
      </w:r>
      <w:r>
        <w:rPr>
          <w:rFonts w:hint="eastAsia" w:ascii="仿宋" w:hAnsi="仿宋" w:eastAsia="仿宋" w:cs="仿宋"/>
          <w:color w:val="000000"/>
          <w:sz w:val="32"/>
          <w:szCs w:val="32"/>
          <w:u w:val="none"/>
        </w:rPr>
        <w:t>%。</w:t>
      </w:r>
      <w:r>
        <w:rPr>
          <w:rFonts w:hint="eastAsia" w:ascii="仿宋" w:hAnsi="仿宋" w:eastAsia="仿宋" w:cs="仿宋"/>
          <w:color w:val="000000"/>
          <w:sz w:val="32"/>
          <w:szCs w:val="32"/>
          <w:highlight w:val="none"/>
          <w:u w:val="none"/>
        </w:rPr>
        <w:t>与上年度决算数相比，</w:t>
      </w:r>
      <w:r>
        <w:rPr>
          <w:rFonts w:hint="eastAsia" w:ascii="仿宋" w:hAnsi="仿宋" w:eastAsia="仿宋" w:cs="仿宋"/>
          <w:color w:val="000000"/>
          <w:sz w:val="32"/>
          <w:szCs w:val="32"/>
          <w:highlight w:val="none"/>
          <w:u w:val="none"/>
          <w:lang w:val="en-US" w:eastAsia="zh-CN"/>
        </w:rPr>
        <w:t>增加2.29</w:t>
      </w:r>
      <w:r>
        <w:rPr>
          <w:rFonts w:hint="eastAsia" w:ascii="仿宋" w:hAnsi="仿宋" w:eastAsia="仿宋" w:cs="仿宋"/>
          <w:color w:val="000000"/>
          <w:sz w:val="32"/>
          <w:szCs w:val="32"/>
          <w:highlight w:val="none"/>
          <w:u w:val="none"/>
        </w:rPr>
        <w:t>万元，增减</w:t>
      </w:r>
      <w:r>
        <w:rPr>
          <w:rFonts w:hint="eastAsia" w:ascii="仿宋" w:hAnsi="仿宋" w:eastAsia="仿宋" w:cs="仿宋"/>
          <w:color w:val="000000"/>
          <w:sz w:val="32"/>
          <w:szCs w:val="32"/>
          <w:highlight w:val="none"/>
          <w:u w:val="none"/>
          <w:lang w:val="en-US" w:eastAsia="zh-CN"/>
        </w:rPr>
        <w:t>23.2%</w:t>
      </w:r>
      <w:r>
        <w:rPr>
          <w:rFonts w:hint="eastAsia" w:ascii="仿宋" w:hAnsi="仿宋" w:eastAsia="仿宋" w:cs="仿宋"/>
          <w:color w:val="000000"/>
          <w:sz w:val="32"/>
          <w:szCs w:val="32"/>
          <w:highlight w:val="none"/>
          <w:u w:val="none"/>
        </w:rPr>
        <w:t>。主要原因是</w:t>
      </w:r>
      <w:r>
        <w:rPr>
          <w:rFonts w:hint="eastAsia" w:ascii="仿宋" w:hAnsi="仿宋" w:eastAsia="仿宋" w:cs="仿宋"/>
          <w:color w:val="000000"/>
          <w:sz w:val="32"/>
          <w:szCs w:val="32"/>
          <w:highlight w:val="none"/>
          <w:u w:val="none"/>
          <w:lang w:val="en-US" w:eastAsia="zh-CN"/>
        </w:rPr>
        <w:t>我单位2021年举行人大会议公车使用较为频繁，导致我单位本年公车运行维护费较上年增加。</w:t>
      </w:r>
    </w:p>
    <w:p>
      <w:pPr>
        <w:widowControl/>
        <w:adjustRightInd w:val="0"/>
        <w:snapToGrid w:val="0"/>
        <w:spacing w:line="580" w:lineRule="atLeast"/>
        <w:ind w:firstLine="640" w:firstLineChars="2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1.因公出国(境)费用支出决算为</w:t>
      </w:r>
      <w:r>
        <w:rPr>
          <w:rFonts w:hint="eastAsia" w:ascii="仿宋" w:hAnsi="仿宋" w:eastAsia="仿宋" w:cs="仿宋"/>
          <w:color w:val="000000"/>
          <w:sz w:val="32"/>
          <w:szCs w:val="32"/>
          <w:u w:val="none"/>
          <w:lang w:val="en-US" w:eastAsia="zh-CN"/>
        </w:rPr>
        <w:t>0</w:t>
      </w:r>
      <w:r>
        <w:rPr>
          <w:rFonts w:hint="eastAsia" w:ascii="仿宋" w:hAnsi="仿宋" w:eastAsia="仿宋" w:cs="仿宋"/>
          <w:color w:val="000000"/>
          <w:sz w:val="32"/>
          <w:szCs w:val="32"/>
          <w:u w:val="none"/>
        </w:rPr>
        <w:t>万元，占预算数的</w:t>
      </w:r>
      <w:r>
        <w:rPr>
          <w:rFonts w:hint="eastAsia" w:ascii="仿宋" w:hAnsi="仿宋" w:eastAsia="仿宋" w:cs="仿宋"/>
          <w:color w:val="000000"/>
          <w:sz w:val="32"/>
          <w:szCs w:val="32"/>
          <w:u w:val="none"/>
          <w:lang w:val="en-US" w:eastAsia="zh-CN"/>
        </w:rPr>
        <w:t>100</w:t>
      </w:r>
      <w:r>
        <w:rPr>
          <w:rFonts w:hint="eastAsia" w:ascii="仿宋" w:hAnsi="仿宋" w:eastAsia="仿宋" w:cs="仿宋"/>
          <w:color w:val="000000"/>
          <w:sz w:val="32"/>
          <w:szCs w:val="32"/>
          <w:u w:val="none"/>
        </w:rPr>
        <w:t>%。与上年度决算数相比，增加（减少）</w:t>
      </w:r>
      <w:r>
        <w:rPr>
          <w:rFonts w:hint="eastAsia" w:ascii="仿宋" w:hAnsi="仿宋" w:eastAsia="仿宋" w:cs="仿宋"/>
          <w:color w:val="000000"/>
          <w:sz w:val="32"/>
          <w:szCs w:val="32"/>
          <w:u w:val="none"/>
          <w:lang w:val="en-US" w:eastAsia="zh-CN"/>
        </w:rPr>
        <w:t>0</w:t>
      </w:r>
      <w:r>
        <w:rPr>
          <w:rFonts w:hint="eastAsia" w:ascii="仿宋" w:hAnsi="仿宋" w:eastAsia="仿宋" w:cs="仿宋"/>
          <w:color w:val="000000"/>
          <w:sz w:val="32"/>
          <w:szCs w:val="32"/>
          <w:u w:val="none"/>
        </w:rPr>
        <w:t>万元，增减</w:t>
      </w:r>
      <w:r>
        <w:rPr>
          <w:rFonts w:hint="eastAsia" w:ascii="仿宋" w:hAnsi="仿宋" w:eastAsia="仿宋" w:cs="仿宋"/>
          <w:color w:val="000000"/>
          <w:sz w:val="32"/>
          <w:szCs w:val="32"/>
          <w:u w:val="none"/>
          <w:lang w:val="en-US" w:eastAsia="zh-CN"/>
        </w:rPr>
        <w:t>100</w:t>
      </w:r>
      <w:r>
        <w:rPr>
          <w:rFonts w:hint="eastAsia" w:ascii="仿宋" w:hAnsi="仿宋" w:eastAsia="仿宋" w:cs="仿宋"/>
          <w:color w:val="000000"/>
          <w:sz w:val="32"/>
          <w:szCs w:val="32"/>
          <w:u w:val="none"/>
        </w:rPr>
        <w:t xml:space="preserve">%。 </w:t>
      </w:r>
    </w:p>
    <w:p>
      <w:pPr>
        <w:adjustRightInd w:val="0"/>
        <w:snapToGrid w:val="0"/>
        <w:spacing w:line="580" w:lineRule="atLeast"/>
        <w:ind w:firstLine="640" w:firstLineChars="2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2.公务用车购置及运行维护费支出决算为</w:t>
      </w:r>
      <w:r>
        <w:rPr>
          <w:rFonts w:hint="eastAsia" w:ascii="仿宋" w:hAnsi="仿宋" w:eastAsia="仿宋" w:cs="仿宋"/>
          <w:color w:val="000000"/>
          <w:sz w:val="32"/>
          <w:szCs w:val="32"/>
          <w:u w:val="none"/>
          <w:lang w:val="en-US" w:eastAsia="zh-CN"/>
        </w:rPr>
        <w:t>12.04</w:t>
      </w:r>
      <w:r>
        <w:rPr>
          <w:rFonts w:hint="eastAsia" w:ascii="仿宋" w:hAnsi="仿宋" w:eastAsia="仿宋" w:cs="仿宋"/>
          <w:color w:val="000000"/>
          <w:sz w:val="32"/>
          <w:szCs w:val="32"/>
          <w:u w:val="none"/>
        </w:rPr>
        <w:t>万元，占预算数的</w:t>
      </w:r>
      <w:r>
        <w:rPr>
          <w:rFonts w:hint="eastAsia" w:ascii="仿宋" w:hAnsi="仿宋" w:eastAsia="仿宋" w:cs="仿宋"/>
          <w:color w:val="000000"/>
          <w:sz w:val="32"/>
          <w:szCs w:val="32"/>
          <w:u w:val="none"/>
          <w:lang w:val="en-US" w:eastAsia="zh-CN"/>
        </w:rPr>
        <w:t>44.59</w:t>
      </w:r>
      <w:r>
        <w:rPr>
          <w:rFonts w:hint="eastAsia" w:ascii="仿宋" w:hAnsi="仿宋" w:eastAsia="仿宋" w:cs="仿宋"/>
          <w:color w:val="000000"/>
          <w:sz w:val="32"/>
          <w:szCs w:val="32"/>
          <w:u w:val="none"/>
        </w:rPr>
        <w:t>%。与上年度决算数相比，增加</w:t>
      </w:r>
      <w:r>
        <w:rPr>
          <w:rFonts w:hint="eastAsia" w:ascii="仿宋" w:hAnsi="仿宋" w:eastAsia="仿宋" w:cs="仿宋"/>
          <w:color w:val="000000"/>
          <w:sz w:val="32"/>
          <w:szCs w:val="32"/>
          <w:u w:val="none"/>
          <w:lang w:val="en-US" w:eastAsia="zh-CN"/>
        </w:rPr>
        <w:t>2.35</w:t>
      </w:r>
      <w:r>
        <w:rPr>
          <w:rFonts w:hint="eastAsia" w:ascii="仿宋" w:hAnsi="仿宋" w:eastAsia="仿宋" w:cs="仿宋"/>
          <w:color w:val="000000"/>
          <w:sz w:val="32"/>
          <w:szCs w:val="32"/>
          <w:u w:val="none"/>
        </w:rPr>
        <w:t>万元，增减</w:t>
      </w:r>
      <w:r>
        <w:rPr>
          <w:rFonts w:hint="eastAsia" w:ascii="仿宋" w:hAnsi="仿宋" w:eastAsia="仿宋" w:cs="仿宋"/>
          <w:color w:val="000000"/>
          <w:sz w:val="32"/>
          <w:szCs w:val="32"/>
          <w:u w:val="none"/>
          <w:lang w:val="en-US" w:eastAsia="zh-CN"/>
        </w:rPr>
        <w:t>24.25</w:t>
      </w:r>
      <w:r>
        <w:rPr>
          <w:rFonts w:hint="eastAsia" w:ascii="仿宋" w:hAnsi="仿宋" w:eastAsia="仿宋" w:cs="仿宋"/>
          <w:color w:val="000000"/>
          <w:sz w:val="32"/>
          <w:szCs w:val="32"/>
          <w:u w:val="none"/>
        </w:rPr>
        <w:t>%。</w:t>
      </w:r>
    </w:p>
    <w:p>
      <w:pPr>
        <w:widowControl/>
        <w:adjustRightInd w:val="0"/>
        <w:snapToGrid w:val="0"/>
        <w:spacing w:line="580" w:lineRule="atLeast"/>
        <w:ind w:firstLine="640" w:firstLineChars="200"/>
        <w:rPr>
          <w:rFonts w:hint="eastAsia" w:ascii="仿宋" w:hAnsi="仿宋" w:eastAsia="仿宋" w:cs="仿宋"/>
          <w:color w:val="000000"/>
          <w:sz w:val="32"/>
          <w:szCs w:val="32"/>
          <w:u w:val="none"/>
        </w:rPr>
      </w:pPr>
      <w:r>
        <w:rPr>
          <w:rFonts w:hint="eastAsia" w:ascii="仿宋" w:hAnsi="仿宋" w:eastAsia="仿宋" w:cs="仿宋"/>
          <w:color w:val="000000"/>
          <w:sz w:val="32"/>
          <w:szCs w:val="32"/>
          <w:u w:val="none"/>
        </w:rPr>
        <w:t>（1）公务用车购置费</w:t>
      </w:r>
      <w:r>
        <w:rPr>
          <w:rFonts w:hint="eastAsia" w:ascii="仿宋" w:hAnsi="仿宋" w:eastAsia="仿宋" w:cs="仿宋"/>
          <w:color w:val="000000"/>
          <w:sz w:val="32"/>
          <w:szCs w:val="32"/>
          <w:u w:val="none"/>
          <w:lang w:val="en-US" w:eastAsia="zh-CN"/>
        </w:rPr>
        <w:t>0</w:t>
      </w:r>
      <w:r>
        <w:rPr>
          <w:rFonts w:hint="eastAsia" w:ascii="仿宋" w:hAnsi="仿宋" w:eastAsia="仿宋" w:cs="仿宋"/>
          <w:color w:val="000000"/>
          <w:sz w:val="32"/>
          <w:szCs w:val="32"/>
          <w:u w:val="none"/>
        </w:rPr>
        <w:t>万元，占预算数的</w:t>
      </w:r>
      <w:r>
        <w:rPr>
          <w:rFonts w:hint="eastAsia" w:ascii="仿宋" w:hAnsi="仿宋" w:eastAsia="仿宋" w:cs="仿宋"/>
          <w:color w:val="000000"/>
          <w:sz w:val="32"/>
          <w:szCs w:val="32"/>
          <w:u w:val="none"/>
          <w:lang w:val="en-US" w:eastAsia="zh-CN"/>
        </w:rPr>
        <w:t>100</w:t>
      </w:r>
      <w:r>
        <w:rPr>
          <w:rFonts w:hint="eastAsia" w:ascii="仿宋" w:hAnsi="仿宋" w:eastAsia="仿宋" w:cs="仿宋"/>
          <w:color w:val="000000"/>
          <w:sz w:val="32"/>
          <w:szCs w:val="32"/>
          <w:u w:val="none"/>
        </w:rPr>
        <w:t>%。与上年度决算数相比，</w:t>
      </w:r>
      <w:r>
        <w:rPr>
          <w:rFonts w:hint="eastAsia" w:ascii="仿宋" w:hAnsi="仿宋" w:eastAsia="仿宋" w:cs="仿宋"/>
          <w:color w:val="000000"/>
          <w:sz w:val="32"/>
          <w:szCs w:val="32"/>
          <w:u w:val="none"/>
          <w:lang w:val="en-US" w:eastAsia="zh-CN"/>
        </w:rPr>
        <w:t>无变动。本年公车购置（更新）数量为0，公务车保有量为6辆。</w:t>
      </w:r>
    </w:p>
    <w:p>
      <w:pPr>
        <w:widowControl/>
        <w:adjustRightInd w:val="0"/>
        <w:snapToGrid w:val="0"/>
        <w:spacing w:line="580" w:lineRule="atLeast"/>
        <w:ind w:firstLine="640" w:firstLineChars="200"/>
        <w:rPr>
          <w:rFonts w:hint="eastAsia" w:ascii="仿宋" w:hAnsi="仿宋" w:eastAsia="仿宋" w:cs="仿宋"/>
          <w:color w:val="000000"/>
          <w:sz w:val="32"/>
          <w:szCs w:val="32"/>
          <w:u w:val="none"/>
          <w:lang w:val="en-US" w:eastAsia="zh-CN"/>
        </w:rPr>
      </w:pPr>
    </w:p>
    <w:p>
      <w:pPr>
        <w:widowControl/>
        <w:adjustRightInd w:val="0"/>
        <w:snapToGrid w:val="0"/>
        <w:spacing w:line="580" w:lineRule="atLeast"/>
        <w:ind w:firstLine="640" w:firstLineChars="200"/>
        <w:rPr>
          <w:rFonts w:hint="eastAsia" w:ascii="仿宋" w:hAnsi="仿宋" w:eastAsia="仿宋" w:cs="仿宋"/>
          <w:color w:val="000000"/>
          <w:sz w:val="32"/>
          <w:szCs w:val="32"/>
          <w:highlight w:val="none"/>
          <w:u w:val="none"/>
        </w:rPr>
      </w:pPr>
      <w:r>
        <w:rPr>
          <w:rFonts w:hint="eastAsia" w:ascii="仿宋" w:hAnsi="仿宋" w:eastAsia="仿宋" w:cs="仿宋"/>
          <w:color w:val="000000"/>
          <w:sz w:val="32"/>
          <w:szCs w:val="32"/>
          <w:u w:val="none"/>
        </w:rPr>
        <w:t>（2）公务用车运行维护费</w:t>
      </w:r>
      <w:r>
        <w:rPr>
          <w:rFonts w:hint="eastAsia" w:ascii="仿宋" w:hAnsi="仿宋" w:eastAsia="仿宋" w:cs="仿宋"/>
          <w:color w:val="000000"/>
          <w:sz w:val="32"/>
          <w:szCs w:val="32"/>
          <w:u w:val="none"/>
          <w:lang w:val="en-US" w:eastAsia="zh-CN"/>
        </w:rPr>
        <w:t>12.04</w:t>
      </w:r>
      <w:r>
        <w:rPr>
          <w:rFonts w:hint="eastAsia" w:ascii="仿宋" w:hAnsi="仿宋" w:eastAsia="仿宋" w:cs="仿宋"/>
          <w:color w:val="000000"/>
          <w:sz w:val="32"/>
          <w:szCs w:val="32"/>
          <w:u w:val="none"/>
        </w:rPr>
        <w:t>万元，占预算数的</w:t>
      </w:r>
      <w:r>
        <w:rPr>
          <w:rFonts w:hint="eastAsia" w:ascii="仿宋" w:hAnsi="仿宋" w:eastAsia="仿宋" w:cs="仿宋"/>
          <w:color w:val="000000"/>
          <w:sz w:val="32"/>
          <w:szCs w:val="32"/>
          <w:highlight w:val="none"/>
          <w:u w:val="none"/>
          <w:lang w:val="en-US" w:eastAsia="zh-CN"/>
        </w:rPr>
        <w:t>44.59</w:t>
      </w:r>
      <w:r>
        <w:rPr>
          <w:rFonts w:hint="eastAsia" w:ascii="仿宋" w:hAnsi="仿宋" w:eastAsia="仿宋" w:cs="仿宋"/>
          <w:color w:val="000000"/>
          <w:sz w:val="32"/>
          <w:szCs w:val="32"/>
          <w:highlight w:val="none"/>
          <w:u w:val="none"/>
        </w:rPr>
        <w:t>%。与上年度决算数相比，增加</w:t>
      </w:r>
      <w:r>
        <w:rPr>
          <w:rFonts w:hint="eastAsia" w:ascii="仿宋" w:hAnsi="仿宋" w:eastAsia="仿宋" w:cs="仿宋"/>
          <w:color w:val="000000"/>
          <w:sz w:val="32"/>
          <w:szCs w:val="32"/>
          <w:highlight w:val="none"/>
          <w:u w:val="none"/>
          <w:lang w:val="en-US" w:eastAsia="zh-CN"/>
        </w:rPr>
        <w:t>2.35</w:t>
      </w:r>
      <w:r>
        <w:rPr>
          <w:rFonts w:hint="eastAsia" w:ascii="仿宋" w:hAnsi="仿宋" w:eastAsia="仿宋" w:cs="仿宋"/>
          <w:color w:val="000000"/>
          <w:sz w:val="32"/>
          <w:szCs w:val="32"/>
          <w:highlight w:val="none"/>
          <w:u w:val="none"/>
        </w:rPr>
        <w:t>万元，增减</w:t>
      </w:r>
      <w:r>
        <w:rPr>
          <w:rFonts w:hint="eastAsia" w:ascii="仿宋" w:hAnsi="仿宋" w:eastAsia="仿宋" w:cs="仿宋"/>
          <w:color w:val="000000"/>
          <w:sz w:val="32"/>
          <w:szCs w:val="32"/>
          <w:highlight w:val="none"/>
          <w:u w:val="none"/>
          <w:lang w:val="en-US" w:eastAsia="zh-CN"/>
        </w:rPr>
        <w:t>24.25</w:t>
      </w:r>
      <w:r>
        <w:rPr>
          <w:rFonts w:hint="eastAsia" w:ascii="仿宋" w:hAnsi="仿宋" w:eastAsia="仿宋" w:cs="仿宋"/>
          <w:color w:val="000000"/>
          <w:sz w:val="32"/>
          <w:szCs w:val="32"/>
          <w:highlight w:val="none"/>
          <w:u w:val="none"/>
        </w:rPr>
        <w:t>%。主要原因是</w:t>
      </w:r>
      <w:r>
        <w:rPr>
          <w:rFonts w:hint="eastAsia" w:ascii="仿宋" w:hAnsi="仿宋" w:eastAsia="仿宋" w:cs="仿宋"/>
          <w:color w:val="000000"/>
          <w:sz w:val="32"/>
          <w:szCs w:val="32"/>
          <w:highlight w:val="none"/>
          <w:u w:val="none"/>
          <w:lang w:val="en-US" w:eastAsia="zh-CN"/>
        </w:rPr>
        <w:t>我单位2021年举行人大会议公车使用较为频繁，导致我单位本年公车运行维护费较上年增加。</w:t>
      </w:r>
    </w:p>
    <w:p>
      <w:pPr>
        <w:adjustRightInd w:val="0"/>
        <w:snapToGrid w:val="0"/>
        <w:spacing w:line="580" w:lineRule="atLeast"/>
        <w:ind w:firstLine="640" w:firstLineChars="200"/>
        <w:rPr>
          <w:rFonts w:hint="default" w:ascii="仿宋" w:hAnsi="仿宋" w:eastAsia="仿宋" w:cs="仿宋"/>
          <w:color w:val="000000"/>
          <w:sz w:val="32"/>
          <w:szCs w:val="32"/>
          <w:highlight w:val="none"/>
          <w:u w:val="none"/>
          <w:lang w:val="en-US" w:eastAsia="zh-CN"/>
        </w:rPr>
      </w:pPr>
      <w:r>
        <w:rPr>
          <w:rFonts w:hint="eastAsia" w:ascii="仿宋" w:hAnsi="仿宋" w:eastAsia="仿宋" w:cs="仿宋"/>
          <w:color w:val="000000"/>
          <w:sz w:val="32"/>
          <w:szCs w:val="32"/>
          <w:highlight w:val="none"/>
          <w:u w:val="none"/>
        </w:rPr>
        <w:t>3.公务接待费</w:t>
      </w:r>
      <w:r>
        <w:rPr>
          <w:rFonts w:hint="eastAsia" w:ascii="仿宋" w:hAnsi="仿宋" w:eastAsia="仿宋" w:cs="仿宋"/>
          <w:color w:val="000000"/>
          <w:sz w:val="32"/>
          <w:szCs w:val="32"/>
          <w:highlight w:val="none"/>
          <w:u w:val="none"/>
          <w:lang w:val="en-US" w:eastAsia="zh-CN"/>
        </w:rPr>
        <w:t>0.12</w:t>
      </w:r>
      <w:r>
        <w:rPr>
          <w:rFonts w:hint="eastAsia" w:ascii="仿宋" w:hAnsi="仿宋" w:eastAsia="仿宋" w:cs="仿宋"/>
          <w:color w:val="000000"/>
          <w:sz w:val="32"/>
          <w:szCs w:val="32"/>
          <w:highlight w:val="none"/>
          <w:u w:val="none"/>
        </w:rPr>
        <w:t>万元，占预算数的</w:t>
      </w:r>
      <w:r>
        <w:rPr>
          <w:rFonts w:hint="eastAsia" w:ascii="仿宋" w:hAnsi="仿宋" w:eastAsia="仿宋" w:cs="仿宋"/>
          <w:color w:val="000000"/>
          <w:sz w:val="32"/>
          <w:szCs w:val="32"/>
          <w:highlight w:val="none"/>
          <w:u w:val="none"/>
          <w:lang w:val="en-US" w:eastAsia="zh-CN"/>
        </w:rPr>
        <w:t>8</w:t>
      </w:r>
      <w:r>
        <w:rPr>
          <w:rFonts w:hint="eastAsia" w:ascii="仿宋" w:hAnsi="仿宋" w:eastAsia="仿宋" w:cs="仿宋"/>
          <w:color w:val="000000"/>
          <w:sz w:val="32"/>
          <w:szCs w:val="32"/>
          <w:highlight w:val="none"/>
          <w:u w:val="none"/>
        </w:rPr>
        <w:t>%。与上年度决算数相比，减少</w:t>
      </w:r>
      <w:r>
        <w:rPr>
          <w:rFonts w:hint="eastAsia" w:ascii="仿宋" w:hAnsi="仿宋" w:eastAsia="仿宋" w:cs="仿宋"/>
          <w:color w:val="000000"/>
          <w:sz w:val="32"/>
          <w:szCs w:val="32"/>
          <w:highlight w:val="none"/>
          <w:u w:val="none"/>
          <w:lang w:val="en-US" w:eastAsia="zh-CN"/>
        </w:rPr>
        <w:t>0.06</w:t>
      </w:r>
      <w:r>
        <w:rPr>
          <w:rFonts w:hint="eastAsia" w:ascii="仿宋" w:hAnsi="仿宋" w:eastAsia="仿宋" w:cs="仿宋"/>
          <w:color w:val="000000"/>
          <w:sz w:val="32"/>
          <w:szCs w:val="32"/>
          <w:highlight w:val="none"/>
          <w:u w:val="none"/>
        </w:rPr>
        <w:t>万元，增减</w:t>
      </w:r>
      <w:r>
        <w:rPr>
          <w:rFonts w:hint="eastAsia" w:ascii="仿宋" w:hAnsi="仿宋" w:eastAsia="仿宋" w:cs="仿宋"/>
          <w:color w:val="000000"/>
          <w:sz w:val="32"/>
          <w:szCs w:val="32"/>
          <w:highlight w:val="none"/>
          <w:u w:val="none"/>
          <w:lang w:val="en-US" w:eastAsia="zh-CN"/>
        </w:rPr>
        <w:t xml:space="preserve">100 </w:t>
      </w:r>
      <w:r>
        <w:rPr>
          <w:rFonts w:hint="eastAsia" w:ascii="仿宋" w:hAnsi="仿宋" w:eastAsia="仿宋" w:cs="仿宋"/>
          <w:color w:val="000000"/>
          <w:sz w:val="32"/>
          <w:szCs w:val="32"/>
          <w:highlight w:val="none"/>
          <w:u w:val="none"/>
        </w:rPr>
        <w:t>%。增减变动的原因是</w:t>
      </w:r>
      <w:r>
        <w:rPr>
          <w:rFonts w:hint="eastAsia" w:ascii="仿宋" w:hAnsi="仿宋" w:eastAsia="仿宋" w:cs="仿宋"/>
          <w:color w:val="000000"/>
          <w:sz w:val="32"/>
          <w:szCs w:val="32"/>
          <w:highlight w:val="none"/>
          <w:u w:val="none"/>
          <w:lang w:val="en-US" w:eastAsia="zh-CN"/>
        </w:rPr>
        <w:t>我单位本年由于正常压减公务接待开支，该公务接待主要用于人大交流学习公务接待费，接待批次为2次，合计人数为16人。</w:t>
      </w:r>
    </w:p>
    <w:p>
      <w:pPr>
        <w:adjustRightInd w:val="0"/>
        <w:snapToGrid w:val="0"/>
        <w:spacing w:line="560" w:lineRule="atLeast"/>
        <w:ind w:firstLine="643" w:firstLineChars="200"/>
        <w:rPr>
          <w:rFonts w:hint="eastAsia" w:ascii="仿宋" w:hAnsi="仿宋" w:eastAsia="仿宋" w:cs="仿宋"/>
          <w:b/>
          <w:sz w:val="32"/>
          <w:szCs w:val="32"/>
          <w:u w:val="none"/>
        </w:rPr>
      </w:pPr>
      <w:r>
        <w:rPr>
          <w:rFonts w:hint="eastAsia" w:ascii="仿宋" w:hAnsi="仿宋" w:eastAsia="仿宋" w:cs="仿宋"/>
          <w:b/>
          <w:sz w:val="32"/>
          <w:szCs w:val="32"/>
          <w:u w:val="none"/>
        </w:rPr>
        <w:t>八、</w:t>
      </w:r>
      <w:r>
        <w:rPr>
          <w:rFonts w:hint="eastAsia" w:ascii="仿宋" w:hAnsi="仿宋" w:eastAsia="仿宋" w:cs="仿宋"/>
          <w:b/>
          <w:sz w:val="32"/>
          <w:szCs w:val="32"/>
          <w:u w:val="none"/>
          <w:lang w:eastAsia="zh-CN"/>
        </w:rPr>
        <w:t>2021</w:t>
      </w:r>
      <w:r>
        <w:rPr>
          <w:rFonts w:hint="eastAsia" w:ascii="仿宋" w:hAnsi="仿宋" w:eastAsia="仿宋" w:cs="仿宋"/>
          <w:b/>
          <w:sz w:val="32"/>
          <w:szCs w:val="32"/>
          <w:u w:val="none"/>
        </w:rPr>
        <w:t>年度政府性基金预算财政拨款收入支出决算情况说明</w:t>
      </w:r>
    </w:p>
    <w:p>
      <w:pPr>
        <w:adjustRightInd w:val="0"/>
        <w:snapToGrid w:val="0"/>
        <w:spacing w:line="560" w:lineRule="atLeast"/>
        <w:ind w:firstLine="640" w:firstLineChars="200"/>
        <w:rPr>
          <w:rFonts w:hint="eastAsia" w:ascii="仿宋" w:hAnsi="仿宋" w:eastAsia="仿宋" w:cs="仿宋"/>
          <w:b/>
          <w:sz w:val="32"/>
          <w:szCs w:val="32"/>
          <w:u w:val="none"/>
          <w:lang w:eastAsia="zh-CN"/>
        </w:rPr>
      </w:pPr>
      <w:r>
        <w:rPr>
          <w:rFonts w:hint="eastAsia" w:ascii="仿宋" w:hAnsi="仿宋" w:eastAsia="仿宋" w:cs="仿宋"/>
          <w:bCs/>
          <w:kern w:val="44"/>
          <w:sz w:val="32"/>
          <w:szCs w:val="32"/>
          <w:u w:val="none"/>
        </w:rPr>
        <w:t>我部门没有政府性基金预算财政拨款收支及结余</w:t>
      </w:r>
      <w:r>
        <w:rPr>
          <w:rFonts w:hint="eastAsia" w:ascii="仿宋" w:hAnsi="仿宋" w:eastAsia="仿宋" w:cs="仿宋"/>
          <w:bCs/>
          <w:kern w:val="44"/>
          <w:sz w:val="32"/>
          <w:szCs w:val="32"/>
          <w:u w:val="none"/>
          <w:lang w:eastAsia="zh-CN"/>
        </w:rPr>
        <w:t>。</w:t>
      </w:r>
    </w:p>
    <w:p>
      <w:pPr>
        <w:adjustRightInd w:val="0"/>
        <w:snapToGrid w:val="0"/>
        <w:spacing w:line="560" w:lineRule="atLeast"/>
        <w:ind w:firstLine="643" w:firstLineChars="200"/>
        <w:rPr>
          <w:rFonts w:hint="eastAsia" w:ascii="仿宋" w:hAnsi="仿宋" w:eastAsia="仿宋" w:cs="仿宋"/>
          <w:b/>
          <w:kern w:val="0"/>
          <w:sz w:val="32"/>
          <w:szCs w:val="32"/>
          <w:u w:val="none"/>
          <w:lang w:val="en-US" w:eastAsia="zh-CN"/>
        </w:rPr>
      </w:pPr>
      <w:r>
        <w:rPr>
          <w:rFonts w:hint="eastAsia" w:ascii="仿宋" w:hAnsi="仿宋" w:eastAsia="仿宋" w:cs="仿宋"/>
          <w:b/>
          <w:kern w:val="0"/>
          <w:sz w:val="32"/>
          <w:szCs w:val="32"/>
          <w:u w:val="none"/>
          <w:lang w:eastAsia="zh-CN"/>
        </w:rPr>
        <w:t>九、</w:t>
      </w:r>
      <w:r>
        <w:rPr>
          <w:rFonts w:hint="eastAsia" w:ascii="仿宋" w:hAnsi="仿宋" w:eastAsia="仿宋" w:cs="仿宋"/>
          <w:b/>
          <w:kern w:val="0"/>
          <w:sz w:val="32"/>
          <w:szCs w:val="32"/>
          <w:u w:val="none"/>
          <w:lang w:val="en-US" w:eastAsia="zh-CN"/>
        </w:rPr>
        <w:t>2021年度国有资本经营预算财政拨款支出决算情况说明</w:t>
      </w:r>
    </w:p>
    <w:p>
      <w:pPr>
        <w:adjustRightInd w:val="0"/>
        <w:snapToGrid w:val="0"/>
        <w:spacing w:line="560" w:lineRule="atLeast"/>
        <w:ind w:firstLine="640" w:firstLineChars="200"/>
        <w:rPr>
          <w:rFonts w:hint="default" w:ascii="仿宋" w:hAnsi="仿宋" w:eastAsia="仿宋" w:cs="仿宋"/>
          <w:b w:val="0"/>
          <w:bCs/>
          <w:kern w:val="0"/>
          <w:sz w:val="32"/>
          <w:szCs w:val="32"/>
          <w:u w:val="none"/>
          <w:lang w:val="en-US" w:eastAsia="zh-CN"/>
        </w:rPr>
      </w:pPr>
      <w:r>
        <w:rPr>
          <w:rFonts w:hint="eastAsia" w:ascii="仿宋" w:hAnsi="仿宋" w:eastAsia="仿宋" w:cs="仿宋"/>
          <w:b w:val="0"/>
          <w:bCs/>
          <w:kern w:val="0"/>
          <w:sz w:val="32"/>
          <w:szCs w:val="32"/>
          <w:u w:val="none"/>
          <w:lang w:val="en-US" w:eastAsia="zh-CN"/>
        </w:rPr>
        <w:t>我部门没有国有资本经营预算财政拨款收支及结余。</w:t>
      </w:r>
    </w:p>
    <w:p>
      <w:pPr>
        <w:adjustRightInd w:val="0"/>
        <w:snapToGrid w:val="0"/>
        <w:spacing w:line="560" w:lineRule="atLeast"/>
        <w:ind w:firstLine="643" w:firstLineChars="200"/>
        <w:rPr>
          <w:rFonts w:hint="eastAsia" w:ascii="仿宋" w:hAnsi="仿宋" w:eastAsia="仿宋" w:cs="仿宋"/>
          <w:b/>
          <w:color w:val="000000"/>
          <w:kern w:val="0"/>
          <w:sz w:val="32"/>
          <w:szCs w:val="32"/>
          <w:highlight w:val="none"/>
          <w:u w:val="none"/>
        </w:rPr>
      </w:pPr>
      <w:r>
        <w:rPr>
          <w:rFonts w:hint="eastAsia" w:ascii="仿宋" w:hAnsi="仿宋" w:eastAsia="仿宋" w:cs="仿宋"/>
          <w:b/>
          <w:kern w:val="0"/>
          <w:sz w:val="32"/>
          <w:szCs w:val="32"/>
          <w:highlight w:val="none"/>
          <w:u w:val="none"/>
          <w:lang w:eastAsia="zh-CN"/>
        </w:rPr>
        <w:t>十</w:t>
      </w:r>
      <w:r>
        <w:rPr>
          <w:rFonts w:hint="eastAsia" w:ascii="仿宋" w:hAnsi="仿宋" w:eastAsia="仿宋" w:cs="仿宋"/>
          <w:b/>
          <w:kern w:val="0"/>
          <w:sz w:val="32"/>
          <w:szCs w:val="32"/>
          <w:highlight w:val="none"/>
          <w:u w:val="none"/>
        </w:rPr>
        <w:t>、</w:t>
      </w:r>
      <w:r>
        <w:rPr>
          <w:rFonts w:hint="eastAsia" w:ascii="仿宋" w:hAnsi="仿宋" w:eastAsia="仿宋" w:cs="仿宋"/>
          <w:b/>
          <w:color w:val="000000"/>
          <w:kern w:val="0"/>
          <w:sz w:val="32"/>
          <w:szCs w:val="32"/>
          <w:highlight w:val="none"/>
          <w:u w:val="none"/>
          <w:lang w:eastAsia="zh-CN"/>
        </w:rPr>
        <w:t>2021</w:t>
      </w:r>
      <w:r>
        <w:rPr>
          <w:rFonts w:hint="eastAsia" w:ascii="仿宋" w:hAnsi="仿宋" w:eastAsia="仿宋" w:cs="仿宋"/>
          <w:b/>
          <w:color w:val="000000"/>
          <w:kern w:val="0"/>
          <w:sz w:val="32"/>
          <w:szCs w:val="32"/>
          <w:highlight w:val="none"/>
          <w:u w:val="none"/>
        </w:rPr>
        <w:t>年度其他重要事项的情况说明</w:t>
      </w:r>
    </w:p>
    <w:p>
      <w:pPr>
        <w:numPr>
          <w:ilvl w:val="0"/>
          <w:numId w:val="4"/>
        </w:numPr>
        <w:autoSpaceDE w:val="0"/>
        <w:autoSpaceDN w:val="0"/>
        <w:adjustRightInd w:val="0"/>
        <w:ind w:firstLine="643" w:firstLineChars="200"/>
        <w:rPr>
          <w:rFonts w:hint="eastAsia" w:ascii="仿宋" w:hAnsi="仿宋" w:eastAsia="仿宋" w:cs="仿宋"/>
          <w:b/>
          <w:bCs/>
          <w:kern w:val="44"/>
          <w:sz w:val="32"/>
          <w:szCs w:val="32"/>
          <w:u w:val="none"/>
        </w:rPr>
      </w:pPr>
      <w:r>
        <w:rPr>
          <w:rFonts w:hint="eastAsia" w:ascii="仿宋" w:hAnsi="仿宋" w:eastAsia="仿宋" w:cs="仿宋"/>
          <w:b/>
          <w:bCs/>
          <w:kern w:val="44"/>
          <w:sz w:val="32"/>
          <w:szCs w:val="32"/>
          <w:u w:val="none"/>
        </w:rPr>
        <w:t>机关运行经费支出情况。</w:t>
      </w:r>
    </w:p>
    <w:p>
      <w:pPr>
        <w:numPr>
          <w:ilvl w:val="0"/>
          <w:numId w:val="0"/>
        </w:numPr>
        <w:autoSpaceDE w:val="0"/>
        <w:autoSpaceDN w:val="0"/>
        <w:adjustRightInd w:val="0"/>
        <w:ind w:firstLine="640" w:firstLineChars="200"/>
        <w:rPr>
          <w:rFonts w:hint="eastAsia" w:ascii="仿宋" w:hAnsi="仿宋" w:eastAsia="仿宋" w:cs="仿宋"/>
          <w:bCs/>
          <w:kern w:val="44"/>
          <w:sz w:val="32"/>
          <w:szCs w:val="32"/>
          <w:highlight w:val="none"/>
          <w:u w:val="none"/>
          <w:lang w:val="en-US" w:eastAsia="zh-CN"/>
        </w:rPr>
      </w:pP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年度</w:t>
      </w: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rPr>
        <w:t>（含实行公务员管理的事业单位）机关运行经费支出</w:t>
      </w:r>
      <w:r>
        <w:rPr>
          <w:rFonts w:hint="eastAsia" w:ascii="仿宋" w:hAnsi="仿宋" w:eastAsia="仿宋" w:cs="仿宋"/>
          <w:bCs/>
          <w:kern w:val="44"/>
          <w:sz w:val="32"/>
          <w:szCs w:val="32"/>
          <w:u w:val="none"/>
          <w:lang w:val="en-US" w:eastAsia="zh-CN"/>
        </w:rPr>
        <w:t>188.08</w:t>
      </w:r>
      <w:r>
        <w:rPr>
          <w:rFonts w:hint="eastAsia" w:ascii="仿宋" w:hAnsi="仿宋" w:eastAsia="仿宋" w:cs="仿宋"/>
          <w:bCs/>
          <w:kern w:val="44"/>
          <w:sz w:val="32"/>
          <w:szCs w:val="32"/>
          <w:u w:val="none"/>
        </w:rPr>
        <w:t>万元，较上年减少</w:t>
      </w:r>
      <w:r>
        <w:rPr>
          <w:rFonts w:hint="eastAsia" w:ascii="仿宋" w:hAnsi="仿宋" w:eastAsia="仿宋" w:cs="仿宋"/>
          <w:bCs/>
          <w:kern w:val="44"/>
          <w:sz w:val="32"/>
          <w:szCs w:val="32"/>
          <w:u w:val="none"/>
          <w:lang w:val="en-US" w:eastAsia="zh-CN"/>
        </w:rPr>
        <w:t>354.17</w:t>
      </w:r>
      <w:r>
        <w:rPr>
          <w:rFonts w:hint="eastAsia" w:ascii="仿宋" w:hAnsi="仿宋" w:eastAsia="仿宋" w:cs="仿宋"/>
          <w:bCs/>
          <w:kern w:val="44"/>
          <w:sz w:val="32"/>
          <w:szCs w:val="32"/>
          <w:u w:val="none"/>
        </w:rPr>
        <w:t>万元，降低</w:t>
      </w:r>
      <w:r>
        <w:rPr>
          <w:rFonts w:hint="eastAsia" w:ascii="仿宋" w:hAnsi="仿宋" w:eastAsia="仿宋" w:cs="仿宋"/>
          <w:bCs/>
          <w:kern w:val="44"/>
          <w:sz w:val="32"/>
          <w:szCs w:val="32"/>
          <w:u w:val="none"/>
          <w:lang w:val="en-US" w:eastAsia="zh-CN"/>
        </w:rPr>
        <w:t>65.31</w:t>
      </w:r>
      <w:r>
        <w:rPr>
          <w:rFonts w:hint="eastAsia" w:ascii="仿宋" w:hAnsi="仿宋" w:eastAsia="仿宋" w:cs="仿宋"/>
          <w:bCs/>
          <w:kern w:val="44"/>
          <w:sz w:val="32"/>
          <w:szCs w:val="32"/>
          <w:u w:val="none"/>
        </w:rPr>
        <w:t>%。</w:t>
      </w:r>
      <w:r>
        <w:rPr>
          <w:rFonts w:hint="eastAsia" w:ascii="仿宋" w:hAnsi="仿宋" w:eastAsia="仿宋" w:cs="仿宋"/>
          <w:bCs/>
          <w:kern w:val="44"/>
          <w:sz w:val="32"/>
          <w:szCs w:val="32"/>
          <w:highlight w:val="none"/>
          <w:u w:val="none"/>
        </w:rPr>
        <w:t>主要原因是</w:t>
      </w:r>
      <w:r>
        <w:rPr>
          <w:rFonts w:hint="eastAsia" w:ascii="仿宋" w:hAnsi="仿宋" w:eastAsia="仿宋" w:cs="仿宋"/>
          <w:bCs/>
          <w:kern w:val="44"/>
          <w:sz w:val="32"/>
          <w:szCs w:val="32"/>
          <w:highlight w:val="none"/>
          <w:u w:val="none"/>
          <w:lang w:val="en-US" w:eastAsia="zh-CN"/>
        </w:rPr>
        <w:t>我单位2021年对公务接待经费进行压减。</w:t>
      </w:r>
    </w:p>
    <w:p>
      <w:pPr>
        <w:adjustRightInd w:val="0"/>
        <w:snapToGrid w:val="0"/>
        <w:spacing w:line="560" w:lineRule="atLeast"/>
        <w:ind w:firstLine="640" w:firstLineChars="200"/>
        <w:rPr>
          <w:rFonts w:hint="eastAsia" w:ascii="仿宋" w:hAnsi="仿宋" w:eastAsia="仿宋" w:cs="仿宋"/>
          <w:bCs/>
          <w:kern w:val="44"/>
          <w:sz w:val="32"/>
          <w:szCs w:val="32"/>
          <w:u w:val="none"/>
        </w:rPr>
      </w:pPr>
      <w:r>
        <w:rPr>
          <w:rFonts w:hint="eastAsia" w:ascii="仿宋" w:hAnsi="仿宋" w:eastAsia="仿宋" w:cs="仿宋"/>
          <w:sz w:val="32"/>
          <w:szCs w:val="32"/>
          <w:u w:val="none"/>
          <w:lang w:eastAsia="zh-CN"/>
        </w:rPr>
        <w:t>机关运行经费项目支出情况：</w:t>
      </w:r>
      <w:r>
        <w:rPr>
          <w:rFonts w:hint="eastAsia" w:ascii="仿宋" w:hAnsi="仿宋" w:eastAsia="仿宋" w:cs="仿宋"/>
          <w:bCs/>
          <w:kern w:val="44"/>
          <w:sz w:val="32"/>
          <w:szCs w:val="32"/>
          <w:u w:val="none"/>
        </w:rPr>
        <w:t>主要包括：办公费8.78</w:t>
      </w:r>
      <w:r>
        <w:rPr>
          <w:rFonts w:hint="eastAsia" w:ascii="仿宋" w:hAnsi="仿宋" w:eastAsia="仿宋" w:cs="仿宋"/>
          <w:bCs/>
          <w:kern w:val="44"/>
          <w:sz w:val="32"/>
          <w:szCs w:val="32"/>
          <w:u w:val="none"/>
          <w:lang w:val="en-US" w:eastAsia="zh-CN"/>
        </w:rPr>
        <w:t>万元、咨询费8万元、邮电费2.87万元、维修（护）费0.59万元、会议费0.57万元、公务接待费0.12万元、劳务费18.62万元、委托业务费58.9万元、</w:t>
      </w:r>
      <w:r>
        <w:rPr>
          <w:rFonts w:hint="eastAsia" w:ascii="仿宋" w:hAnsi="仿宋" w:eastAsia="仿宋" w:cs="仿宋"/>
          <w:bCs/>
          <w:kern w:val="44"/>
          <w:sz w:val="32"/>
          <w:szCs w:val="32"/>
          <w:u w:val="none"/>
        </w:rPr>
        <w:t>福利费</w:t>
      </w:r>
      <w:r>
        <w:rPr>
          <w:rFonts w:hint="eastAsia" w:ascii="仿宋" w:hAnsi="仿宋" w:eastAsia="仿宋" w:cs="仿宋"/>
          <w:bCs/>
          <w:kern w:val="44"/>
          <w:sz w:val="32"/>
          <w:szCs w:val="32"/>
          <w:u w:val="none"/>
          <w:lang w:val="en-US" w:eastAsia="zh-CN"/>
        </w:rPr>
        <w:t>40.42万元、公务用车运行维护费9.11万元、其他交通费用38.28万元、办公设备购置1.83万元。</w:t>
      </w:r>
    </w:p>
    <w:p>
      <w:pPr>
        <w:numPr>
          <w:ilvl w:val="0"/>
          <w:numId w:val="4"/>
        </w:numPr>
        <w:autoSpaceDE w:val="0"/>
        <w:autoSpaceDN w:val="0"/>
        <w:adjustRightInd w:val="0"/>
        <w:snapToGrid w:val="0"/>
        <w:spacing w:line="580" w:lineRule="atLeast"/>
        <w:ind w:left="0" w:leftChars="0"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rPr>
        <w:t>政府采购支出情况</w:t>
      </w:r>
      <w:r>
        <w:rPr>
          <w:rFonts w:hint="eastAsia" w:ascii="仿宋" w:hAnsi="仿宋" w:eastAsia="仿宋" w:cs="仿宋"/>
          <w:bCs/>
          <w:kern w:val="44"/>
          <w:sz w:val="32"/>
          <w:szCs w:val="32"/>
          <w:u w:val="none"/>
        </w:rPr>
        <w:t>。</w:t>
      </w:r>
    </w:p>
    <w:p>
      <w:pPr>
        <w:numPr>
          <w:ilvl w:val="0"/>
          <w:numId w:val="0"/>
        </w:numPr>
        <w:autoSpaceDE w:val="0"/>
        <w:autoSpaceDN w:val="0"/>
        <w:adjustRightInd w:val="0"/>
        <w:snapToGrid w:val="0"/>
        <w:spacing w:line="580" w:lineRule="atLeast"/>
        <w:ind w:firstLine="640" w:firstLineChars="200"/>
        <w:rPr>
          <w:rFonts w:ascii="仿宋_GB2312" w:eastAsia="仿宋_GB2312"/>
          <w:bCs/>
          <w:kern w:val="44"/>
          <w:sz w:val="32"/>
          <w:szCs w:val="32"/>
          <w:u w:val="none"/>
        </w:rPr>
      </w:pP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年度</w:t>
      </w: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rPr>
        <w:t>政府采购支出总额</w:t>
      </w:r>
      <w:r>
        <w:rPr>
          <w:rFonts w:hint="eastAsia" w:ascii="仿宋" w:hAnsi="仿宋" w:eastAsia="仿宋" w:cs="仿宋"/>
          <w:bCs/>
          <w:kern w:val="44"/>
          <w:sz w:val="32"/>
          <w:szCs w:val="32"/>
          <w:u w:val="none"/>
          <w:lang w:val="en-US" w:eastAsia="zh-CN"/>
        </w:rPr>
        <w:t>141.51</w:t>
      </w:r>
      <w:r>
        <w:rPr>
          <w:rFonts w:hint="eastAsia" w:ascii="仿宋" w:hAnsi="仿宋" w:eastAsia="仿宋" w:cs="仿宋"/>
          <w:bCs/>
          <w:kern w:val="44"/>
          <w:sz w:val="32"/>
          <w:szCs w:val="32"/>
          <w:u w:val="none"/>
        </w:rPr>
        <w:t>万元，其中：政府采购货物支出</w:t>
      </w:r>
      <w:r>
        <w:rPr>
          <w:rFonts w:hint="eastAsia" w:ascii="仿宋" w:hAnsi="仿宋" w:eastAsia="仿宋" w:cs="仿宋"/>
          <w:bCs/>
          <w:kern w:val="44"/>
          <w:sz w:val="32"/>
          <w:szCs w:val="32"/>
          <w:u w:val="none"/>
          <w:lang w:val="en-US" w:eastAsia="zh-CN"/>
        </w:rPr>
        <w:t>8.94</w:t>
      </w:r>
      <w:r>
        <w:rPr>
          <w:rFonts w:hint="eastAsia" w:ascii="仿宋" w:hAnsi="仿宋" w:eastAsia="仿宋" w:cs="仿宋"/>
          <w:bCs/>
          <w:kern w:val="44"/>
          <w:sz w:val="32"/>
          <w:szCs w:val="32"/>
          <w:u w:val="none"/>
        </w:rPr>
        <w:t>万元、政府采购工程支出</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万元、政府采购服务支出</w:t>
      </w:r>
      <w:r>
        <w:rPr>
          <w:rFonts w:hint="eastAsia" w:ascii="仿宋" w:hAnsi="仿宋" w:eastAsia="仿宋" w:cs="仿宋"/>
          <w:bCs/>
          <w:kern w:val="44"/>
          <w:sz w:val="32"/>
          <w:szCs w:val="32"/>
          <w:u w:val="none"/>
          <w:lang w:val="en-US" w:eastAsia="zh-CN"/>
        </w:rPr>
        <w:t>132.57</w:t>
      </w:r>
      <w:r>
        <w:rPr>
          <w:rFonts w:hint="eastAsia" w:ascii="仿宋" w:hAnsi="仿宋" w:eastAsia="仿宋" w:cs="仿宋"/>
          <w:bCs/>
          <w:kern w:val="44"/>
          <w:sz w:val="32"/>
          <w:szCs w:val="32"/>
          <w:u w:val="none"/>
        </w:rPr>
        <w:t>万元。</w:t>
      </w:r>
      <w:r>
        <w:rPr>
          <w:rFonts w:hint="eastAsia" w:ascii="仿宋_GB2312" w:eastAsia="仿宋_GB2312"/>
          <w:bCs/>
          <w:kern w:val="44"/>
          <w:sz w:val="32"/>
          <w:szCs w:val="32"/>
          <w:u w:val="none"/>
        </w:rPr>
        <w:t>授予中小企业合同金额</w:t>
      </w:r>
      <w:r>
        <w:rPr>
          <w:rFonts w:hint="eastAsia" w:ascii="仿宋_GB2312" w:eastAsia="仿宋_GB2312"/>
          <w:bCs/>
          <w:kern w:val="44"/>
          <w:sz w:val="32"/>
          <w:szCs w:val="32"/>
          <w:u w:val="none"/>
          <w:lang w:val="en-US" w:eastAsia="zh-CN"/>
        </w:rPr>
        <w:t>0</w:t>
      </w:r>
      <w:r>
        <w:rPr>
          <w:rFonts w:hint="eastAsia" w:ascii="仿宋_GB2312" w:eastAsia="仿宋_GB2312"/>
          <w:bCs/>
          <w:kern w:val="44"/>
          <w:sz w:val="32"/>
          <w:szCs w:val="32"/>
          <w:u w:val="none"/>
        </w:rPr>
        <w:t>万元，占政府采购支出总额的</w:t>
      </w:r>
      <w:r>
        <w:rPr>
          <w:rFonts w:hint="eastAsia" w:ascii="仿宋_GB2312" w:eastAsia="仿宋_GB2312"/>
          <w:bCs/>
          <w:kern w:val="44"/>
          <w:sz w:val="32"/>
          <w:szCs w:val="32"/>
          <w:u w:val="none"/>
          <w:lang w:val="en-US" w:eastAsia="zh-CN"/>
        </w:rPr>
        <w:t>0</w:t>
      </w:r>
      <w:r>
        <w:rPr>
          <w:rFonts w:hint="eastAsia" w:ascii="仿宋_GB2312" w:eastAsia="仿宋_GB2312"/>
          <w:bCs/>
          <w:kern w:val="44"/>
          <w:sz w:val="32"/>
          <w:szCs w:val="32"/>
          <w:u w:val="none"/>
        </w:rPr>
        <w:t>%，其中：授予小微企业合同金额</w:t>
      </w:r>
      <w:r>
        <w:rPr>
          <w:rFonts w:hint="eastAsia" w:ascii="仿宋_GB2312" w:eastAsia="仿宋_GB2312"/>
          <w:bCs/>
          <w:kern w:val="44"/>
          <w:sz w:val="32"/>
          <w:szCs w:val="32"/>
          <w:u w:val="none"/>
          <w:lang w:val="en-US" w:eastAsia="zh-CN"/>
        </w:rPr>
        <w:t>0</w:t>
      </w:r>
      <w:r>
        <w:rPr>
          <w:rFonts w:hint="eastAsia" w:ascii="仿宋_GB2312" w:eastAsia="仿宋_GB2312"/>
          <w:bCs/>
          <w:kern w:val="44"/>
          <w:sz w:val="32"/>
          <w:szCs w:val="32"/>
          <w:u w:val="none"/>
        </w:rPr>
        <w:t>万元，占政府采购支出总额的</w:t>
      </w:r>
      <w:r>
        <w:rPr>
          <w:rFonts w:hint="eastAsia" w:ascii="仿宋_GB2312" w:eastAsia="仿宋_GB2312"/>
          <w:bCs/>
          <w:kern w:val="44"/>
          <w:sz w:val="32"/>
          <w:szCs w:val="32"/>
          <w:u w:val="none"/>
          <w:lang w:val="en-US" w:eastAsia="zh-CN"/>
        </w:rPr>
        <w:t>0</w:t>
      </w:r>
      <w:r>
        <w:rPr>
          <w:rFonts w:hint="eastAsia" w:ascii="仿宋_GB2312" w:eastAsia="仿宋_GB2312"/>
          <w:bCs/>
          <w:kern w:val="44"/>
          <w:sz w:val="32"/>
          <w:szCs w:val="32"/>
          <w:u w:val="none"/>
        </w:rPr>
        <w:t xml:space="preserve"> %。</w:t>
      </w:r>
    </w:p>
    <w:p>
      <w:pPr>
        <w:numPr>
          <w:ilvl w:val="0"/>
          <w:numId w:val="4"/>
        </w:numPr>
        <w:autoSpaceDE w:val="0"/>
        <w:autoSpaceDN w:val="0"/>
        <w:adjustRightInd w:val="0"/>
        <w:ind w:left="0" w:leftChars="0" w:firstLine="643" w:firstLineChars="200"/>
        <w:rPr>
          <w:rFonts w:hint="eastAsia" w:ascii="仿宋" w:hAnsi="仿宋" w:eastAsia="仿宋" w:cs="仿宋"/>
          <w:bCs/>
          <w:kern w:val="44"/>
          <w:sz w:val="32"/>
          <w:szCs w:val="32"/>
          <w:u w:val="none"/>
        </w:rPr>
      </w:pPr>
      <w:r>
        <w:rPr>
          <w:rFonts w:hint="eastAsia" w:ascii="仿宋" w:hAnsi="仿宋" w:eastAsia="仿宋" w:cs="仿宋"/>
          <w:b/>
          <w:bCs/>
          <w:kern w:val="44"/>
          <w:sz w:val="32"/>
          <w:szCs w:val="32"/>
          <w:u w:val="none"/>
        </w:rPr>
        <w:t>国有资产占用情况</w:t>
      </w:r>
      <w:r>
        <w:rPr>
          <w:rFonts w:hint="eastAsia" w:ascii="仿宋" w:hAnsi="仿宋" w:eastAsia="仿宋" w:cs="仿宋"/>
          <w:bCs/>
          <w:kern w:val="44"/>
          <w:sz w:val="32"/>
          <w:szCs w:val="32"/>
          <w:u w:val="none"/>
        </w:rPr>
        <w:t>。</w:t>
      </w:r>
    </w:p>
    <w:p>
      <w:pPr>
        <w:numPr>
          <w:ilvl w:val="0"/>
          <w:numId w:val="0"/>
        </w:numPr>
        <w:autoSpaceDE w:val="0"/>
        <w:autoSpaceDN w:val="0"/>
        <w:adjustRightInd w:val="0"/>
        <w:ind w:firstLine="640" w:firstLineChars="200"/>
        <w:rPr>
          <w:rFonts w:hint="default" w:ascii="仿宋" w:hAnsi="仿宋" w:eastAsia="仿宋" w:cs="仿宋"/>
          <w:bCs/>
          <w:kern w:val="44"/>
          <w:sz w:val="32"/>
          <w:szCs w:val="32"/>
          <w:u w:val="none"/>
          <w:lang w:val="en-US" w:eastAsia="zh-CN"/>
        </w:rPr>
      </w:pPr>
      <w:r>
        <w:rPr>
          <w:rFonts w:hint="eastAsia" w:ascii="仿宋" w:hAnsi="仿宋" w:eastAsia="仿宋" w:cs="仿宋"/>
          <w:bCs/>
          <w:kern w:val="44"/>
          <w:sz w:val="32"/>
          <w:szCs w:val="32"/>
          <w:u w:val="none"/>
        </w:rPr>
        <w:t>截至</w:t>
      </w:r>
      <w:r>
        <w:rPr>
          <w:rFonts w:hint="eastAsia" w:ascii="仿宋" w:hAnsi="仿宋" w:eastAsia="仿宋" w:cs="仿宋"/>
          <w:bCs/>
          <w:kern w:val="44"/>
          <w:sz w:val="32"/>
          <w:szCs w:val="32"/>
          <w:u w:val="none"/>
          <w:lang w:eastAsia="zh-CN"/>
        </w:rPr>
        <w:t>2021</w:t>
      </w:r>
      <w:r>
        <w:rPr>
          <w:rFonts w:hint="eastAsia" w:ascii="仿宋" w:hAnsi="仿宋" w:eastAsia="仿宋" w:cs="仿宋"/>
          <w:bCs/>
          <w:kern w:val="44"/>
          <w:sz w:val="32"/>
          <w:szCs w:val="32"/>
          <w:u w:val="none"/>
        </w:rPr>
        <w:t>年12月31日，</w:t>
      </w:r>
      <w:r>
        <w:rPr>
          <w:rFonts w:hint="eastAsia" w:ascii="仿宋" w:hAnsi="仿宋" w:eastAsia="仿宋" w:cs="仿宋"/>
          <w:bCs/>
          <w:sz w:val="32"/>
          <w:szCs w:val="32"/>
          <w:u w:val="none"/>
          <w:lang w:eastAsia="zh-CN"/>
        </w:rPr>
        <w:t>武汉市江夏区人大常委会办公室</w:t>
      </w:r>
      <w:r>
        <w:rPr>
          <w:rFonts w:hint="eastAsia" w:ascii="仿宋" w:hAnsi="仿宋" w:eastAsia="仿宋" w:cs="仿宋"/>
          <w:bCs/>
          <w:kern w:val="44"/>
          <w:sz w:val="32"/>
          <w:szCs w:val="32"/>
          <w:u w:val="none"/>
        </w:rPr>
        <w:t>共有车辆</w:t>
      </w:r>
      <w:r>
        <w:rPr>
          <w:rFonts w:hint="eastAsia" w:ascii="仿宋" w:hAnsi="仿宋" w:eastAsia="仿宋" w:cs="仿宋"/>
          <w:bCs/>
          <w:kern w:val="44"/>
          <w:sz w:val="32"/>
          <w:szCs w:val="32"/>
          <w:u w:val="none"/>
          <w:lang w:val="en-US" w:eastAsia="zh-CN"/>
        </w:rPr>
        <w:t>8</w:t>
      </w:r>
      <w:r>
        <w:rPr>
          <w:rFonts w:hint="eastAsia" w:ascii="仿宋" w:hAnsi="仿宋" w:eastAsia="仿宋" w:cs="仿宋"/>
          <w:bCs/>
          <w:kern w:val="44"/>
          <w:sz w:val="32"/>
          <w:szCs w:val="32"/>
          <w:u w:val="none"/>
        </w:rPr>
        <w:t>辆，其中，省部级领导干部用</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辆， 一般公务用车</w:t>
      </w:r>
      <w:r>
        <w:rPr>
          <w:rFonts w:hint="eastAsia" w:ascii="仿宋" w:hAnsi="仿宋" w:eastAsia="仿宋" w:cs="仿宋"/>
          <w:bCs/>
          <w:kern w:val="44"/>
          <w:sz w:val="32"/>
          <w:szCs w:val="32"/>
          <w:u w:val="none"/>
          <w:lang w:val="en-US" w:eastAsia="zh-CN"/>
        </w:rPr>
        <w:t>8</w:t>
      </w:r>
      <w:r>
        <w:rPr>
          <w:rFonts w:hint="eastAsia" w:ascii="仿宋" w:hAnsi="仿宋" w:eastAsia="仿宋" w:cs="仿宋"/>
          <w:bCs/>
          <w:kern w:val="44"/>
          <w:sz w:val="32"/>
          <w:szCs w:val="32"/>
          <w:u w:val="none"/>
        </w:rPr>
        <w:t>辆，一般执法执勤用车</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辆，特种专业技术用车</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辆，其他用车</w:t>
      </w:r>
      <w:r>
        <w:rPr>
          <w:rFonts w:hint="eastAsia" w:ascii="仿宋" w:hAnsi="仿宋" w:eastAsia="仿宋" w:cs="仿宋"/>
          <w:bCs/>
          <w:kern w:val="44"/>
          <w:sz w:val="32"/>
          <w:szCs w:val="32"/>
          <w:u w:val="none"/>
          <w:lang w:val="en-US" w:eastAsia="zh-CN"/>
        </w:rPr>
        <w:t>0</w:t>
      </w:r>
      <w:r>
        <w:rPr>
          <w:rFonts w:hint="eastAsia" w:ascii="仿宋" w:hAnsi="仿宋" w:eastAsia="仿宋" w:cs="仿宋"/>
          <w:bCs/>
          <w:kern w:val="44"/>
          <w:sz w:val="32"/>
          <w:szCs w:val="32"/>
          <w:u w:val="none"/>
        </w:rPr>
        <w:t>辆。 单价50万元（含）以上通用设备</w:t>
      </w:r>
      <w:r>
        <w:rPr>
          <w:rFonts w:hint="eastAsia" w:ascii="仿宋" w:hAnsi="仿宋" w:eastAsia="仿宋" w:cs="仿宋"/>
          <w:bCs/>
          <w:kern w:val="44"/>
          <w:sz w:val="32"/>
          <w:szCs w:val="32"/>
          <w:u w:val="none"/>
          <w:lang w:val="en-US" w:eastAsia="zh-CN"/>
        </w:rPr>
        <w:t>0套</w:t>
      </w:r>
      <w:r>
        <w:rPr>
          <w:rFonts w:hint="eastAsia" w:ascii="仿宋" w:hAnsi="仿宋" w:eastAsia="仿宋" w:cs="仿宋"/>
          <w:bCs/>
          <w:kern w:val="44"/>
          <w:sz w:val="32"/>
          <w:szCs w:val="32"/>
          <w:u w:val="none"/>
        </w:rPr>
        <w:t>；单价100万元（含）以上专用设备</w:t>
      </w:r>
      <w:r>
        <w:rPr>
          <w:rFonts w:hint="eastAsia" w:ascii="仿宋" w:hAnsi="仿宋" w:eastAsia="仿宋" w:cs="仿宋"/>
          <w:bCs/>
          <w:kern w:val="44"/>
          <w:sz w:val="32"/>
          <w:szCs w:val="32"/>
          <w:u w:val="none"/>
          <w:lang w:val="en-US" w:eastAsia="zh-CN"/>
        </w:rPr>
        <w:t>0套</w:t>
      </w:r>
      <w:r>
        <w:rPr>
          <w:rFonts w:hint="eastAsia" w:ascii="仿宋" w:hAnsi="仿宋" w:eastAsia="仿宋" w:cs="仿宋"/>
          <w:bCs/>
          <w:kern w:val="44"/>
          <w:sz w:val="32"/>
          <w:szCs w:val="32"/>
          <w:u w:val="none"/>
        </w:rPr>
        <w:t>。</w:t>
      </w:r>
      <w:r>
        <w:rPr>
          <w:rFonts w:hint="eastAsia" w:ascii="仿宋" w:hAnsi="仿宋" w:eastAsia="仿宋" w:cs="仿宋"/>
          <w:bCs/>
          <w:kern w:val="44"/>
          <w:sz w:val="32"/>
          <w:szCs w:val="32"/>
          <w:u w:val="none"/>
          <w:lang w:eastAsia="zh-CN"/>
        </w:rPr>
        <w:t>占有房屋</w:t>
      </w:r>
      <w:r>
        <w:rPr>
          <w:rFonts w:hint="eastAsia" w:ascii="仿宋" w:hAnsi="仿宋" w:eastAsia="仿宋" w:cs="仿宋"/>
          <w:bCs/>
          <w:kern w:val="44"/>
          <w:sz w:val="32"/>
          <w:szCs w:val="32"/>
          <w:u w:val="none"/>
          <w:lang w:val="en-US" w:eastAsia="zh-CN"/>
        </w:rPr>
        <w:t>850平方米，其中：办公用房850平，业务用房0平。其他资产如：电脑、空调、打印机、复印机等通用设备合计164套，原值为86.57万元；家具用具62套，原值合计为10.78万元。</w:t>
      </w:r>
    </w:p>
    <w:p>
      <w:pPr>
        <w:autoSpaceDE w:val="0"/>
        <w:autoSpaceDN w:val="0"/>
        <w:adjustRightInd w:val="0"/>
        <w:ind w:firstLine="643" w:firstLineChars="200"/>
        <w:rPr>
          <w:rFonts w:hint="eastAsia" w:ascii="仿宋" w:hAnsi="仿宋" w:eastAsia="仿宋" w:cs="仿宋"/>
          <w:b/>
          <w:kern w:val="44"/>
          <w:sz w:val="32"/>
          <w:szCs w:val="32"/>
          <w:u w:val="none"/>
        </w:rPr>
      </w:pPr>
      <w:r>
        <w:rPr>
          <w:rFonts w:hint="eastAsia" w:ascii="仿宋" w:hAnsi="仿宋" w:eastAsia="仿宋" w:cs="仿宋"/>
          <w:b/>
          <w:kern w:val="44"/>
          <w:sz w:val="32"/>
          <w:szCs w:val="32"/>
          <w:u w:val="none"/>
        </w:rPr>
        <w:t>（四）关于</w:t>
      </w:r>
      <w:r>
        <w:rPr>
          <w:rFonts w:hint="eastAsia" w:ascii="仿宋" w:hAnsi="仿宋" w:eastAsia="仿宋" w:cs="仿宋"/>
          <w:b/>
          <w:kern w:val="44"/>
          <w:sz w:val="32"/>
          <w:szCs w:val="32"/>
          <w:u w:val="none"/>
          <w:lang w:eastAsia="zh-CN"/>
        </w:rPr>
        <w:t>2021</w:t>
      </w:r>
      <w:r>
        <w:rPr>
          <w:rFonts w:hint="eastAsia" w:ascii="仿宋" w:hAnsi="仿宋" w:eastAsia="仿宋" w:cs="仿宋"/>
          <w:b/>
          <w:kern w:val="44"/>
          <w:sz w:val="32"/>
          <w:szCs w:val="32"/>
          <w:u w:val="none"/>
        </w:rPr>
        <w:t>年度预算绩效情况的说明。</w:t>
      </w:r>
    </w:p>
    <w:p>
      <w:pPr>
        <w:autoSpaceDE w:val="0"/>
        <w:autoSpaceDN w:val="0"/>
        <w:adjustRightInd w:val="0"/>
        <w:ind w:firstLine="643" w:firstLineChars="200"/>
        <w:rPr>
          <w:rFonts w:hint="eastAsia" w:ascii="仿宋" w:hAnsi="仿宋" w:eastAsia="仿宋" w:cs="仿宋"/>
          <w:b/>
          <w:kern w:val="44"/>
          <w:sz w:val="32"/>
          <w:szCs w:val="32"/>
          <w:u w:val="none"/>
        </w:rPr>
      </w:pPr>
      <w:r>
        <w:rPr>
          <w:rFonts w:hint="eastAsia" w:ascii="仿宋" w:hAnsi="仿宋" w:eastAsia="仿宋" w:cs="仿宋"/>
          <w:b/>
          <w:kern w:val="44"/>
          <w:sz w:val="32"/>
          <w:szCs w:val="32"/>
          <w:u w:val="none"/>
        </w:rPr>
        <w:t>1.绩效管理工作开展情况。</w:t>
      </w:r>
    </w:p>
    <w:p>
      <w:pPr>
        <w:ind w:firstLine="63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根据预算绩效管理要求，</w:t>
      </w:r>
      <w:r>
        <w:rPr>
          <w:rFonts w:hint="eastAsia" w:ascii="仿宋" w:hAnsi="仿宋" w:eastAsia="仿宋" w:cs="仿宋"/>
          <w:bCs/>
          <w:sz w:val="32"/>
          <w:szCs w:val="32"/>
          <w:u w:val="none"/>
          <w:lang w:eastAsia="zh-CN"/>
        </w:rPr>
        <w:t>武汉市江夏区人大常委会办公室</w:t>
      </w:r>
      <w:r>
        <w:rPr>
          <w:rFonts w:hint="eastAsia" w:ascii="仿宋_GB2312" w:hAnsi="仿宋_GB2312" w:eastAsia="仿宋_GB2312" w:cs="仿宋_GB2312"/>
          <w:sz w:val="32"/>
          <w:szCs w:val="32"/>
          <w:u w:val="none"/>
        </w:rPr>
        <w:t>组织对</w:t>
      </w:r>
      <w:r>
        <w:rPr>
          <w:rFonts w:hint="eastAsia" w:ascii="仿宋_GB2312" w:hAnsi="仿宋_GB2312" w:eastAsia="仿宋_GB2312" w:cs="仿宋_GB2312"/>
          <w:sz w:val="32"/>
          <w:szCs w:val="32"/>
          <w:u w:val="none"/>
          <w:lang w:val="en-US" w:eastAsia="zh-CN"/>
        </w:rPr>
        <w:t>2021</w:t>
      </w:r>
      <w:r>
        <w:rPr>
          <w:rFonts w:hint="eastAsia" w:ascii="仿宋_GB2312" w:hAnsi="仿宋_GB2312" w:eastAsia="仿宋_GB2312" w:cs="仿宋_GB2312"/>
          <w:sz w:val="32"/>
          <w:szCs w:val="32"/>
          <w:u w:val="none"/>
        </w:rPr>
        <w:t>年度一般公共预算项目支出全面开展绩效自评，共涉及项目</w:t>
      </w:r>
      <w:r>
        <w:rPr>
          <w:rFonts w:hint="eastAsia" w:ascii="仿宋_GB2312" w:hAnsi="仿宋_GB2312" w:eastAsia="仿宋_GB2312" w:cs="仿宋_GB2312"/>
          <w:sz w:val="32"/>
          <w:szCs w:val="32"/>
          <w:u w:val="none"/>
          <w:lang w:val="en-US" w:eastAsia="zh-CN"/>
        </w:rPr>
        <w:t>8</w:t>
      </w:r>
      <w:r>
        <w:rPr>
          <w:rFonts w:hint="eastAsia" w:ascii="仿宋_GB2312" w:hAnsi="仿宋_GB2312" w:eastAsia="仿宋_GB2312" w:cs="仿宋_GB2312"/>
          <w:sz w:val="32"/>
          <w:szCs w:val="32"/>
          <w:u w:val="none"/>
        </w:rPr>
        <w:t>个，资金</w:t>
      </w:r>
      <w:r>
        <w:rPr>
          <w:rFonts w:hint="eastAsia" w:ascii="仿宋_GB2312" w:hAnsi="仿宋_GB2312" w:eastAsia="仿宋_GB2312" w:cs="仿宋_GB2312"/>
          <w:sz w:val="32"/>
          <w:szCs w:val="32"/>
          <w:u w:val="none"/>
          <w:lang w:val="en-US" w:eastAsia="zh-CN"/>
        </w:rPr>
        <w:t>385.21</w:t>
      </w:r>
      <w:r>
        <w:rPr>
          <w:rFonts w:hint="eastAsia" w:ascii="仿宋_GB2312" w:hAnsi="仿宋_GB2312" w:eastAsia="仿宋_GB2312" w:cs="仿宋_GB2312"/>
          <w:sz w:val="32"/>
          <w:szCs w:val="32"/>
          <w:u w:val="none"/>
        </w:rPr>
        <w:t>万元。组织对</w:t>
      </w:r>
      <w:r>
        <w:rPr>
          <w:rFonts w:hint="eastAsia" w:ascii="仿宋_GB2312" w:hAnsi="仿宋_GB2312" w:eastAsia="仿宋_GB2312" w:cs="仿宋_GB2312"/>
          <w:sz w:val="32"/>
          <w:szCs w:val="32"/>
          <w:u w:val="none"/>
          <w:lang w:val="en-US" w:eastAsia="zh-CN"/>
        </w:rPr>
        <w:t>1</w:t>
      </w:r>
      <w:r>
        <w:rPr>
          <w:rFonts w:hint="eastAsia" w:ascii="仿宋_GB2312" w:hAnsi="仿宋_GB2312" w:eastAsia="仿宋_GB2312" w:cs="仿宋_GB2312"/>
          <w:sz w:val="32"/>
          <w:szCs w:val="32"/>
          <w:u w:val="none"/>
        </w:rPr>
        <w:t>个</w:t>
      </w:r>
      <w:r>
        <w:rPr>
          <w:rFonts w:hint="eastAsia" w:ascii="仿宋_GB2312" w:hAnsi="仿宋_GB2312" w:eastAsia="仿宋_GB2312" w:cs="仿宋_GB2312"/>
          <w:sz w:val="32"/>
          <w:szCs w:val="32"/>
          <w:u w:val="none"/>
          <w:lang w:val="en-US" w:eastAsia="zh-CN"/>
        </w:rPr>
        <w:t>单位</w:t>
      </w:r>
      <w:r>
        <w:rPr>
          <w:rFonts w:hint="eastAsia" w:ascii="仿宋_GB2312" w:hAnsi="仿宋_GB2312" w:eastAsia="仿宋_GB2312" w:cs="仿宋_GB2312"/>
          <w:sz w:val="32"/>
          <w:szCs w:val="32"/>
          <w:u w:val="none"/>
        </w:rPr>
        <w:t>开展整体支出绩效自评，资金</w:t>
      </w:r>
      <w:r>
        <w:rPr>
          <w:rFonts w:hint="eastAsia" w:ascii="仿宋_GB2312" w:hAnsi="仿宋_GB2312" w:eastAsia="仿宋_GB2312" w:cs="仿宋_GB2312"/>
          <w:sz w:val="32"/>
          <w:szCs w:val="32"/>
          <w:u w:val="none"/>
          <w:lang w:val="en-US" w:eastAsia="zh-CN"/>
        </w:rPr>
        <w:t>2331.61</w:t>
      </w:r>
      <w:r>
        <w:rPr>
          <w:rFonts w:hint="eastAsia" w:ascii="仿宋_GB2312" w:hAnsi="仿宋_GB2312" w:eastAsia="仿宋_GB2312" w:cs="仿宋_GB2312"/>
          <w:sz w:val="32"/>
          <w:szCs w:val="32"/>
          <w:u w:val="none"/>
        </w:rPr>
        <w:t>万元。从绩效评价情况来看，</w:t>
      </w:r>
      <w:r>
        <w:rPr>
          <w:rFonts w:hint="eastAsia" w:ascii="仿宋_GB2312" w:eastAsia="仿宋_GB2312" w:cs="仿宋_GB2312"/>
          <w:color w:val="auto"/>
          <w:sz w:val="32"/>
          <w:szCs w:val="32"/>
        </w:rPr>
        <w:t>按照2021年度预算实际执行情况，努力提高2023年预算编制的准确性，</w:t>
      </w:r>
      <w:r>
        <w:rPr>
          <w:rFonts w:hint="eastAsia" w:ascii="仿宋_GB2312" w:eastAsia="仿宋_GB2312" w:cs="仿宋_GB2312"/>
          <w:color w:val="auto"/>
          <w:sz w:val="32"/>
          <w:szCs w:val="32"/>
          <w:lang w:eastAsia="zh-CN"/>
        </w:rPr>
        <w:t>提高预算编制的科学性，更加符合区委区政府的方针和政策</w:t>
      </w:r>
      <w:r>
        <w:rPr>
          <w:rFonts w:hint="eastAsia" w:ascii="仿宋_GB2312" w:eastAsia="仿宋_GB2312" w:cs="仿宋_GB2312"/>
          <w:color w:val="auto"/>
          <w:sz w:val="32"/>
          <w:szCs w:val="32"/>
        </w:rPr>
        <w:t>。</w:t>
      </w:r>
    </w:p>
    <w:p>
      <w:pPr>
        <w:autoSpaceDE w:val="0"/>
        <w:autoSpaceDN w:val="0"/>
        <w:adjustRightInd w:val="0"/>
        <w:ind w:firstLine="643" w:firstLineChars="200"/>
        <w:rPr>
          <w:rFonts w:hint="eastAsia" w:ascii="仿宋" w:hAnsi="仿宋" w:eastAsia="仿宋" w:cs="仿宋"/>
          <w:b/>
          <w:kern w:val="44"/>
          <w:sz w:val="32"/>
          <w:szCs w:val="32"/>
          <w:u w:val="none"/>
        </w:rPr>
      </w:pPr>
      <w:r>
        <w:rPr>
          <w:rFonts w:hint="eastAsia" w:ascii="仿宋" w:hAnsi="仿宋" w:eastAsia="仿宋" w:cs="仿宋"/>
          <w:b/>
          <w:kern w:val="44"/>
          <w:sz w:val="32"/>
          <w:szCs w:val="32"/>
          <w:u w:val="none"/>
        </w:rPr>
        <w:t>2.绩效自评结果。</w:t>
      </w:r>
    </w:p>
    <w:p>
      <w:pPr>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 xml:space="preserve">  </w:t>
      </w:r>
      <w:r>
        <w:rPr>
          <w:rFonts w:hint="eastAsia" w:ascii="仿宋_GB2312" w:hAnsi="仿宋_GB2312" w:eastAsia="仿宋_GB2312"/>
          <w:sz w:val="32"/>
          <w:szCs w:val="32"/>
          <w:u w:val="none"/>
        </w:rPr>
        <w:t xml:space="preserve"> </w:t>
      </w:r>
      <w:r>
        <w:rPr>
          <w:rFonts w:hint="eastAsia" w:ascii="仿宋_GB2312" w:hAnsi="仿宋_GB2312" w:eastAsia="仿宋_GB2312"/>
          <w:sz w:val="32"/>
          <w:szCs w:val="32"/>
          <w:u w:val="none"/>
          <w:lang w:eastAsia="zh-CN"/>
        </w:rPr>
        <w:t>武汉市江夏区人大常委会办公室</w:t>
      </w:r>
      <w:r>
        <w:rPr>
          <w:rFonts w:hint="eastAsia" w:ascii="仿宋_GB2312" w:hAnsi="仿宋_GB2312" w:eastAsia="仿宋_GB2312" w:cs="仿宋_GB2312"/>
          <w:sz w:val="32"/>
          <w:szCs w:val="32"/>
          <w:u w:val="none"/>
        </w:rPr>
        <w:t>今年在</w:t>
      </w:r>
      <w:r>
        <w:rPr>
          <w:rFonts w:hint="eastAsia" w:ascii="仿宋_GB2312" w:hAnsi="仿宋_GB2312" w:eastAsia="仿宋_GB2312" w:cs="仿宋_GB2312"/>
          <w:sz w:val="32"/>
          <w:szCs w:val="32"/>
          <w:u w:val="none"/>
          <w:lang w:eastAsia="zh-CN"/>
        </w:rPr>
        <w:t>区</w:t>
      </w:r>
      <w:r>
        <w:rPr>
          <w:rFonts w:hint="eastAsia" w:ascii="仿宋_GB2312" w:hAnsi="仿宋_GB2312" w:eastAsia="仿宋_GB2312" w:cs="仿宋_GB2312"/>
          <w:sz w:val="32"/>
          <w:szCs w:val="32"/>
          <w:u w:val="none"/>
        </w:rPr>
        <w:t>级部门决算中反映所有项目绩效自评结果（不包括涉密项目）。</w:t>
      </w:r>
    </w:p>
    <w:p>
      <w:pPr>
        <w:widowControl/>
        <w:ind w:firstLine="320" w:firstLineChars="100"/>
        <w:rPr>
          <w:rFonts w:hint="eastAsia" w:ascii="仿宋_GB2312" w:hAnsi="仿宋_GB2312" w:eastAsia="仿宋_GB2312" w:cs="Times New Roman"/>
          <w:sz w:val="32"/>
          <w:szCs w:val="32"/>
          <w:u w:val="none"/>
          <w:lang w:eastAsia="zh-CN"/>
        </w:rPr>
      </w:pPr>
      <w:r>
        <w:rPr>
          <w:rFonts w:hint="eastAsia" w:ascii="仿宋_GB2312" w:hAnsi="仿宋_GB2312" w:eastAsia="仿宋_GB2312" w:cs="仿宋_GB2312"/>
          <w:sz w:val="32"/>
          <w:szCs w:val="32"/>
          <w:u w:val="none"/>
        </w:rPr>
        <w:t xml:space="preserve"> </w:t>
      </w:r>
      <w:r>
        <w:rPr>
          <w:rFonts w:hint="eastAsia" w:ascii="仿宋_GB2312" w:hAnsi="仿宋_GB2312" w:eastAsia="仿宋_GB2312" w:cs="Times New Roman"/>
          <w:sz w:val="32"/>
          <w:szCs w:val="32"/>
          <w:u w:val="none"/>
          <w:lang w:eastAsia="zh-CN"/>
        </w:rPr>
        <w:t>人大专门委员会活动经费　项目绩效自评综述：项目全年预算数为</w:t>
      </w:r>
      <w:r>
        <w:rPr>
          <w:rFonts w:hint="eastAsia" w:ascii="仿宋_GB2312" w:hAnsi="仿宋_GB2312" w:eastAsia="仿宋_GB2312" w:cs="Times New Roman"/>
          <w:sz w:val="32"/>
          <w:szCs w:val="32"/>
          <w:u w:val="none"/>
          <w:lang w:val="en-US" w:eastAsia="zh-CN"/>
        </w:rPr>
        <w:t>11</w:t>
      </w:r>
      <w:r>
        <w:rPr>
          <w:rFonts w:hint="eastAsia" w:ascii="仿宋_GB2312" w:hAnsi="仿宋_GB2312" w:eastAsia="仿宋_GB2312" w:cs="Times New Roman"/>
          <w:sz w:val="32"/>
          <w:szCs w:val="32"/>
          <w:u w:val="none"/>
          <w:lang w:eastAsia="zh-CN"/>
        </w:rPr>
        <w:t>万元，执行数为</w:t>
      </w:r>
      <w:r>
        <w:rPr>
          <w:rFonts w:hint="eastAsia" w:ascii="仿宋_GB2312" w:hAnsi="仿宋_GB2312" w:eastAsia="仿宋_GB2312" w:cs="Times New Roman"/>
          <w:sz w:val="32"/>
          <w:szCs w:val="32"/>
          <w:u w:val="none"/>
          <w:lang w:val="en-US" w:eastAsia="zh-CN"/>
        </w:rPr>
        <w:t>6.66</w:t>
      </w:r>
      <w:r>
        <w:rPr>
          <w:rFonts w:hint="eastAsia" w:ascii="仿宋_GB2312" w:hAnsi="仿宋_GB2312" w:eastAsia="仿宋_GB2312" w:cs="Times New Roman"/>
          <w:sz w:val="32"/>
          <w:szCs w:val="32"/>
          <w:u w:val="none"/>
          <w:lang w:eastAsia="zh-CN"/>
        </w:rPr>
        <w:t>万元，完成预算的</w:t>
      </w:r>
      <w:r>
        <w:rPr>
          <w:rFonts w:hint="eastAsia" w:ascii="仿宋_GB2312" w:hAnsi="仿宋_GB2312" w:eastAsia="仿宋_GB2312" w:cs="Times New Roman"/>
          <w:sz w:val="32"/>
          <w:szCs w:val="32"/>
          <w:u w:val="none"/>
          <w:lang w:val="en-US" w:eastAsia="zh-CN"/>
        </w:rPr>
        <w:t>60.55</w:t>
      </w:r>
      <w:r>
        <w:rPr>
          <w:rFonts w:hint="eastAsia" w:ascii="仿宋_GB2312" w:hAnsi="仿宋_GB2312" w:eastAsia="仿宋_GB2312" w:cs="Times New Roman"/>
          <w:sz w:val="32"/>
          <w:szCs w:val="32"/>
          <w:u w:val="none"/>
          <w:lang w:eastAsia="zh-CN"/>
        </w:rPr>
        <w:t>%，主要产出和效果：一是开展人大专门委员会考察调研活动</w:t>
      </w:r>
      <w:r>
        <w:rPr>
          <w:rFonts w:hint="eastAsia" w:ascii="仿宋_GB2312" w:hAnsi="仿宋_GB2312" w:eastAsia="仿宋_GB2312" w:cs="Times New Roman"/>
          <w:sz w:val="32"/>
          <w:szCs w:val="32"/>
          <w:u w:val="none"/>
          <w:lang w:val="en-US" w:eastAsia="zh-CN"/>
        </w:rPr>
        <w:t>2次</w:t>
      </w:r>
      <w:r>
        <w:rPr>
          <w:rFonts w:hint="eastAsia" w:ascii="仿宋_GB2312" w:hAnsi="仿宋_GB2312" w:eastAsia="仿宋_GB2312" w:cs="Times New Roman"/>
          <w:sz w:val="32"/>
          <w:szCs w:val="32"/>
          <w:u w:val="none"/>
          <w:lang w:eastAsia="zh-CN"/>
        </w:rPr>
        <w:t>；二是保障专门委员会印刷工作正常进行。发现的问题及原因：初预算金额为</w:t>
      </w:r>
      <w:r>
        <w:rPr>
          <w:rFonts w:hint="eastAsia" w:ascii="仿宋_GB2312" w:hAnsi="仿宋_GB2312" w:eastAsia="仿宋_GB2312" w:cs="Times New Roman"/>
          <w:sz w:val="32"/>
          <w:szCs w:val="32"/>
          <w:u w:val="none"/>
          <w:lang w:val="en-US" w:eastAsia="zh-CN"/>
        </w:rPr>
        <w:t>11万元，实际本年度支出6.66万元，预算执行率较低，</w:t>
      </w:r>
      <w:r>
        <w:rPr>
          <w:rFonts w:hint="eastAsia" w:ascii="仿宋_GB2312" w:hAnsi="仿宋_GB2312" w:eastAsia="仿宋_GB2312" w:cs="Times New Roman"/>
          <w:sz w:val="32"/>
          <w:szCs w:val="32"/>
          <w:u w:val="none"/>
          <w:lang w:eastAsia="zh-CN"/>
        </w:rPr>
        <w:t>主要原因是因疫情原因，人大专门委员会的外出考察调研活动举办次数减少，并且限制人数和考察范围，导致费用支出相对较少。下一步改进措施：</w:t>
      </w:r>
      <w:r>
        <w:rPr>
          <w:rFonts w:hint="eastAsia" w:ascii="仿宋_GB2312" w:hAnsi="仿宋_GB2312" w:eastAsia="仿宋_GB2312" w:cs="Times New Roman"/>
          <w:sz w:val="32"/>
          <w:szCs w:val="32"/>
          <w:u w:val="none"/>
          <w:lang w:val="en-US" w:eastAsia="zh-CN"/>
        </w:rPr>
        <w:t>在2023年编制预算时，加强预算编制的准确性和科学性，在确保疫情常态化防控的工作的前提下，争取多开展适合的人大专门委员会考察活动，以并提高预算部门执行的进度。</w:t>
      </w:r>
    </w:p>
    <w:p>
      <w:pPr>
        <w:widowControl/>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仿宋_GB2312"/>
          <w:sz w:val="32"/>
          <w:szCs w:val="32"/>
          <w:u w:val="none"/>
        </w:rPr>
        <w:t xml:space="preserve">  </w:t>
      </w:r>
      <w:r>
        <w:rPr>
          <w:rFonts w:hint="eastAsia" w:ascii="仿宋_GB2312" w:hAnsi="仿宋_GB2312" w:eastAsia="仿宋_GB2312" w:cs="Times New Roman"/>
          <w:sz w:val="32"/>
          <w:szCs w:val="32"/>
          <w:u w:val="none"/>
          <w:lang w:val="en-US" w:eastAsia="zh-CN"/>
        </w:rPr>
        <w:t xml:space="preserve"> 人大例会活动经费项目绩效自评综述：项目全年预算数为100万元，执行数为66.58万元，完成预算的66.58%，主要产出和效果：一是开展江夏第五届五次人代会3天；二是江夏第五届五次人代会参会300人。发现的问题及原因：初预算金额为100万元，实际本年度支出66.58万元，预算执行率较低，主要原因是因疫情原因，第五届五次人大会的规模缩小，导致费用支出相对较少。下一步改进措施：在2022年编制2023年预算时，加强预算编制的准确性和科学性。在2022年预算执行中，在确保疫情常态化防控的工作的前提下，争取提高预算部门执行的进度。</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人大代表活动经费项目绩效自评综述：项目全年预算数为36万元，执行数为17.89万元，完成预算的49.7%，主要产出和效果：一是人大代表履职能力培训次数1次；二是人大代表履职能力培训参加46人次。发现的问题及原因：年初预算金额为36万元，实际本年度支出17.89元，预算执行率较低。主要原因是因疫情原因出培训举办次数减少，并且限制人数和考察范围，导致费用支出相对较少。下一步改进措施：在2022年编制2023年预算时，加强预算编制的准确性和科学性，在2022年预算执行中，在确保疫情常态化防控的工作的前提下，争取提高预算部门执行的进度。</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区人大运行经费缺口项目绩效自评综述：项目全年预算数为150万元，执行数为108.44万元，完成预算的72.29%，主要产出和效果：一是刊播电视专栏期数10期；二是服务保障常委会、主任会、党组会24场。发现的问题及原因：预算执行率较低，预算金额为150万元，实际本年度支出108.44万元，预算执行率较低。下一步改进措施：在2022年编制预算时，加强预算编制的准确性和科学性，在确保疫情常态化防控的工作的前提下，争取多开展适合的人大专门委员会考察活动，以并提高预算部门执行的进度。</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第六届人大换届选举经费　项目绩效自评综述：项目全年预算数为71.73万元，执行数为69.5万元，完成预算的96.89%，主要产出和效果：一是补助街道换届选举经费（东湖高新）5个；二是依法选举产生的人大代表325人。发现的问题及原因：无未完成的目标。下一步改进措施：将该项目实施经验应用于下一次人大换届选举的中。</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公费医疗支出项目绩效自评综述：项目全年预算数为74.24万元，执行数为74.24万元，完成预算100%，主要产出和效果：一是按政策享受公费医疗补助20人；二是有效保障副区级干部的公费医疗待遇。发现的问题及原因：无未完成的目标。下一步改进措施：将该项目实施经验应用于2022年度的公费医疗支出中。</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政府购买服务经费　项目绩效自评综述：项目全年预算数为11.9万元，执行数为11.9万元，完成预算100%，主要产出和效果：一是安排政府购买服务3人；二是有效提高单位办文办会的工作效率。发现的问题及原因：无未完成的目标。下一步改进措施：将该项目实施经验应用于2022年度的政府购买服务中。</w:t>
      </w:r>
    </w:p>
    <w:p>
      <w:pPr>
        <w:widowControl/>
        <w:ind w:firstLine="640" w:firstLineChars="200"/>
        <w:rPr>
          <w:rFonts w:hint="eastAsia" w:ascii="仿宋_GB2312" w:hAnsi="仿宋_GB2312" w:eastAsia="仿宋_GB2312" w:cs="Times New Roman"/>
          <w:sz w:val="32"/>
          <w:szCs w:val="32"/>
          <w:u w:val="none"/>
          <w:lang w:val="en-US" w:eastAsia="zh-CN"/>
        </w:rPr>
      </w:pPr>
      <w:r>
        <w:rPr>
          <w:rFonts w:hint="eastAsia" w:ascii="仿宋_GB2312" w:hAnsi="仿宋_GB2312" w:eastAsia="仿宋_GB2312" w:cs="Times New Roman"/>
          <w:sz w:val="32"/>
          <w:szCs w:val="32"/>
          <w:u w:val="none"/>
          <w:lang w:val="en-US" w:eastAsia="zh-CN"/>
        </w:rPr>
        <w:t>街道园区人大代表工作室和联络组经费　项目绩效自评综述：项目全年预算数为30万元，执行数为30万元，完成预算100%，主要产出和效果：一是补助街道园区（东湖高新）人大代表工作室经费5个；二是补助街道园区（东湖高新）人大联络组经费5个。发现的问题及原因：无未完成的目标。下一步改进措施：将该项目实施经验应用于2022年度的街道园区人大代表工作室和联络组经费实施中</w:t>
      </w:r>
    </w:p>
    <w:p>
      <w:pPr>
        <w:widowControl/>
        <w:ind w:firstLine="640" w:firstLineChars="200"/>
        <w:rPr>
          <w:rFonts w:hint="eastAsia" w:ascii="仿宋_GB2312" w:hAnsi="仿宋_GB2312" w:eastAsia="仿宋_GB2312" w:cs="Times New Roman"/>
          <w:sz w:val="32"/>
          <w:szCs w:val="32"/>
          <w:u w:val="none"/>
          <w:lang w:val="en-US" w:eastAsia="zh-CN"/>
        </w:rPr>
      </w:pPr>
    </w:p>
    <w:p>
      <w:pPr>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附件：</w:t>
      </w:r>
      <w:r>
        <w:rPr>
          <w:rFonts w:hint="eastAsia" w:ascii="仿宋_GB2312" w:hAnsi="仿宋_GB2312" w:eastAsia="仿宋_GB2312" w:cs="仿宋_GB2312"/>
          <w:sz w:val="32"/>
          <w:szCs w:val="32"/>
          <w:u w:val="none"/>
          <w:lang w:val="en-US" w:eastAsia="zh-CN"/>
        </w:rPr>
        <w:t>整体绩效评价报告</w:t>
      </w:r>
    </w:p>
    <w:p>
      <w:pPr>
        <w:ind w:firstLine="960" w:firstLineChars="300"/>
        <w:rPr>
          <w:rFonts w:hint="eastAsia" w:ascii="仿宋_GB2312" w:hAnsi="仿宋_GB2312" w:eastAsia="仿宋_GB2312" w:cs="仿宋_GB2312"/>
          <w:sz w:val="32"/>
          <w:szCs w:val="32"/>
          <w:u w:val="none"/>
        </w:rPr>
      </w:pPr>
      <w:r>
        <w:rPr>
          <w:rFonts w:hint="eastAsia" w:ascii="仿宋_GB2312" w:hAnsi="仿宋_GB2312" w:eastAsia="仿宋_GB2312" w:cs="Times New Roman"/>
          <w:sz w:val="32"/>
          <w:szCs w:val="32"/>
          <w:u w:val="none"/>
          <w:lang w:eastAsia="zh-CN"/>
        </w:rPr>
        <w:t>人大专门委员会活动经费</w:t>
      </w:r>
      <w:r>
        <w:rPr>
          <w:rFonts w:hint="eastAsia" w:ascii="仿宋_GB2312" w:hAnsi="仿宋_GB2312" w:eastAsia="仿宋_GB2312" w:cs="仿宋_GB2312"/>
          <w:sz w:val="32"/>
          <w:szCs w:val="32"/>
          <w:u w:val="none"/>
        </w:rPr>
        <w:t xml:space="preserve">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 xml:space="preserve">人大例会活动经费项目支出绩效自评报告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 xml:space="preserve">人大代表活动经费项目支出绩效自评报告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 xml:space="preserve">区人大运行经费缺口项目支出绩效自评报告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第六届人大换届选举经费</w:t>
      </w:r>
      <w:r>
        <w:rPr>
          <w:rFonts w:hint="eastAsia" w:ascii="仿宋_GB2312" w:hAnsi="仿宋_GB2312" w:eastAsia="仿宋_GB2312" w:cs="Times New Roman"/>
          <w:sz w:val="32"/>
          <w:szCs w:val="32"/>
          <w:u w:val="none"/>
          <w:lang w:val="en-US" w:eastAsia="zh-CN"/>
        </w:rPr>
        <w:t xml:space="preserve"> </w:t>
      </w:r>
      <w:r>
        <w:rPr>
          <w:rFonts w:hint="eastAsia" w:ascii="仿宋_GB2312" w:hAnsi="仿宋_GB2312" w:eastAsia="仿宋_GB2312" w:cs="Times New Roman"/>
          <w:sz w:val="32"/>
          <w:szCs w:val="32"/>
          <w:u w:val="none"/>
          <w:lang w:eastAsia="zh-CN"/>
        </w:rPr>
        <w:t xml:space="preserve">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 xml:space="preserve">公费医疗支出项目支出绩效自评报告 </w:t>
      </w:r>
    </w:p>
    <w:p>
      <w:pPr>
        <w:ind w:firstLine="960" w:firstLineChars="300"/>
        <w:rPr>
          <w:rFonts w:hint="eastAsia" w:ascii="仿宋_GB2312" w:hAnsi="仿宋_GB2312" w:eastAsia="仿宋_GB2312" w:cs="Times New Roman"/>
          <w:sz w:val="32"/>
          <w:szCs w:val="32"/>
          <w:u w:val="none"/>
          <w:lang w:eastAsia="zh-CN"/>
        </w:rPr>
      </w:pPr>
      <w:r>
        <w:rPr>
          <w:rFonts w:hint="eastAsia" w:ascii="仿宋_GB2312" w:hAnsi="仿宋_GB2312" w:eastAsia="仿宋_GB2312" w:cs="Times New Roman"/>
          <w:sz w:val="32"/>
          <w:szCs w:val="32"/>
          <w:u w:val="none"/>
          <w:lang w:eastAsia="zh-CN"/>
        </w:rPr>
        <w:t xml:space="preserve">政府购买服务经费项目支出绩效自评报告 </w:t>
      </w:r>
    </w:p>
    <w:p>
      <w:pPr>
        <w:ind w:firstLine="960" w:firstLineChars="300"/>
        <w:rPr>
          <w:rFonts w:hint="eastAsia" w:ascii="仿宋_GB2312" w:hAnsi="仿宋_GB2312" w:eastAsia="仿宋_GB2312" w:cs="仿宋_GB2312"/>
          <w:sz w:val="32"/>
          <w:szCs w:val="32"/>
          <w:u w:val="none"/>
        </w:rPr>
      </w:pPr>
      <w:r>
        <w:rPr>
          <w:rFonts w:hint="eastAsia" w:ascii="仿宋_GB2312" w:hAnsi="仿宋_GB2312" w:eastAsia="仿宋_GB2312" w:cs="Times New Roman"/>
          <w:sz w:val="32"/>
          <w:szCs w:val="32"/>
          <w:u w:val="none"/>
          <w:lang w:eastAsia="zh-CN"/>
        </w:rPr>
        <w:t xml:space="preserve">街道园区人大代表工作室和联络组经费　项目支出绩效自评报告 </w:t>
      </w:r>
    </w:p>
    <w:p>
      <w:pPr>
        <w:numPr>
          <w:ilvl w:val="0"/>
          <w:numId w:val="0"/>
        </w:numPr>
        <w:autoSpaceDE w:val="0"/>
        <w:autoSpaceDN w:val="0"/>
        <w:adjustRightInd w:val="0"/>
        <w:ind w:firstLine="643" w:firstLineChars="200"/>
        <w:rPr>
          <w:rFonts w:hint="eastAsia" w:ascii="仿宋" w:hAnsi="仿宋" w:eastAsia="仿宋" w:cs="仿宋"/>
          <w:b/>
          <w:kern w:val="44"/>
          <w:sz w:val="32"/>
          <w:szCs w:val="32"/>
          <w:u w:val="none"/>
        </w:rPr>
      </w:pPr>
      <w:r>
        <w:rPr>
          <w:rFonts w:hint="eastAsia" w:ascii="仿宋" w:hAnsi="仿宋" w:eastAsia="仿宋" w:cs="仿宋"/>
          <w:b/>
          <w:kern w:val="44"/>
          <w:sz w:val="32"/>
          <w:szCs w:val="32"/>
          <w:u w:val="none"/>
          <w:lang w:val="en-US" w:eastAsia="zh-CN"/>
        </w:rPr>
        <w:t>3.</w:t>
      </w:r>
      <w:r>
        <w:rPr>
          <w:rFonts w:hint="eastAsia" w:ascii="仿宋" w:hAnsi="仿宋" w:eastAsia="仿宋" w:cs="仿宋"/>
          <w:b/>
          <w:kern w:val="44"/>
          <w:sz w:val="32"/>
          <w:szCs w:val="32"/>
          <w:u w:val="none"/>
        </w:rPr>
        <w:t>重点项目绩效评价报告。</w:t>
      </w:r>
    </w:p>
    <w:p>
      <w:pPr>
        <w:numPr>
          <w:ilvl w:val="0"/>
          <w:numId w:val="0"/>
        </w:numPr>
        <w:autoSpaceDE w:val="0"/>
        <w:autoSpaceDN w:val="0"/>
        <w:adjustRightInd w:val="0"/>
        <w:rPr>
          <w:rFonts w:hint="eastAsia" w:ascii="仿宋_GB2312" w:eastAsia="仿宋"/>
          <w:bCs/>
          <w:kern w:val="44"/>
          <w:sz w:val="32"/>
          <w:szCs w:val="32"/>
          <w:u w:val="none"/>
          <w:lang w:val="en-US" w:eastAsia="zh-CN"/>
        </w:rPr>
      </w:pPr>
      <w:r>
        <w:rPr>
          <w:rFonts w:hint="eastAsia" w:ascii="仿宋_GB2312" w:eastAsia="仿宋"/>
          <w:bCs/>
          <w:kern w:val="44"/>
          <w:sz w:val="32"/>
          <w:szCs w:val="32"/>
          <w:u w:val="none"/>
          <w:lang w:val="en-US" w:eastAsia="zh-CN"/>
        </w:rPr>
        <w:t xml:space="preserve">      无</w:t>
      </w:r>
    </w:p>
    <w:p>
      <w:pPr>
        <w:numPr>
          <w:ilvl w:val="0"/>
          <w:numId w:val="0"/>
        </w:numPr>
        <w:autoSpaceDE w:val="0"/>
        <w:autoSpaceDN w:val="0"/>
        <w:adjustRightInd w:val="0"/>
        <w:rPr>
          <w:rFonts w:hint="eastAsia" w:ascii="仿宋" w:hAnsi="仿宋" w:eastAsia="仿宋" w:cs="仿宋"/>
          <w:b/>
          <w:bCs w:val="0"/>
          <w:kern w:val="44"/>
          <w:sz w:val="32"/>
          <w:szCs w:val="32"/>
          <w:u w:val="none"/>
          <w:lang w:val="en-US" w:eastAsia="zh-CN" w:bidi="ar-SA"/>
        </w:rPr>
      </w:pPr>
      <w:r>
        <w:rPr>
          <w:rFonts w:hint="eastAsia" w:ascii="仿宋" w:hAnsi="仿宋" w:eastAsia="仿宋" w:cs="仿宋"/>
          <w:b/>
          <w:bCs w:val="0"/>
          <w:kern w:val="44"/>
          <w:sz w:val="32"/>
          <w:szCs w:val="32"/>
          <w:u w:val="none"/>
          <w:lang w:val="en-US" w:eastAsia="zh-CN" w:bidi="ar-SA"/>
        </w:rPr>
        <w:t>（五）2021年重点工作完成情况</w:t>
      </w:r>
    </w:p>
    <w:p>
      <w:pPr>
        <w:autoSpaceDE w:val="0"/>
        <w:autoSpaceDN w:val="0"/>
        <w:adjustRightInd w:val="0"/>
        <w:rPr>
          <w:rFonts w:hint="eastAsia" w:ascii="仿宋_GB2312" w:eastAsia="仿宋_GB2312"/>
          <w:bCs/>
          <w:kern w:val="44"/>
          <w:sz w:val="32"/>
          <w:szCs w:val="32"/>
          <w:u w:val="none"/>
        </w:rPr>
      </w:pPr>
      <w:bookmarkStart w:id="0" w:name="_GoBack"/>
      <w:r>
        <w:drawing>
          <wp:inline distT="0" distB="0" distL="114300" distR="114300">
            <wp:extent cx="5269230" cy="8394700"/>
            <wp:effectExtent l="0" t="0" r="762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269230" cy="8394700"/>
                    </a:xfrm>
                    <a:prstGeom prst="rect">
                      <a:avLst/>
                    </a:prstGeom>
                    <a:noFill/>
                    <a:ln>
                      <a:noFill/>
                    </a:ln>
                  </pic:spPr>
                </pic:pic>
              </a:graphicData>
            </a:graphic>
          </wp:inline>
        </w:drawing>
      </w:r>
      <w:bookmarkEnd w:id="0"/>
    </w:p>
    <w:p>
      <w:pPr>
        <w:numPr>
          <w:ilvl w:val="0"/>
          <w:numId w:val="5"/>
        </w:numPr>
        <w:adjustRightInd w:val="0"/>
        <w:snapToGrid w:val="0"/>
        <w:spacing w:line="560" w:lineRule="atLeast"/>
        <w:jc w:val="center"/>
        <w:rPr>
          <w:rFonts w:hint="eastAsia" w:ascii="黑体" w:hAnsi="黑体" w:eastAsia="黑体" w:cs="黑体"/>
          <w:bCs/>
          <w:sz w:val="32"/>
          <w:szCs w:val="32"/>
          <w:u w:val="none"/>
        </w:rPr>
      </w:pPr>
      <w:r>
        <w:rPr>
          <w:rFonts w:hint="eastAsia" w:ascii="黑体" w:hAnsi="黑体" w:eastAsia="黑体" w:cs="黑体"/>
          <w:bCs/>
          <w:sz w:val="32"/>
          <w:szCs w:val="32"/>
          <w:u w:val="none"/>
        </w:rPr>
        <w:t>名词解释</w:t>
      </w:r>
    </w:p>
    <w:p>
      <w:pPr>
        <w:numPr>
          <w:ilvl w:val="0"/>
          <w:numId w:val="0"/>
        </w:numPr>
        <w:adjustRightInd w:val="0"/>
        <w:snapToGrid w:val="0"/>
        <w:spacing w:line="560" w:lineRule="atLeast"/>
        <w:jc w:val="both"/>
        <w:rPr>
          <w:rFonts w:hint="eastAsia" w:ascii="黑体" w:hAnsi="黑体" w:eastAsia="黑体" w:cs="黑体"/>
          <w:bCs/>
          <w:sz w:val="32"/>
          <w:szCs w:val="32"/>
          <w:u w:val="none"/>
        </w:rPr>
      </w:pPr>
    </w:p>
    <w:p>
      <w:pPr>
        <w:numPr>
          <w:ilvl w:val="0"/>
          <w:numId w:val="6"/>
        </w:numPr>
        <w:adjustRightInd w:val="0"/>
        <w:snapToGrid w:val="0"/>
        <w:spacing w:line="560" w:lineRule="atLeast"/>
        <w:ind w:firstLine="643" w:firstLineChars="200"/>
        <w:rPr>
          <w:rFonts w:hint="eastAsia" w:ascii="仿宋" w:hAnsi="仿宋" w:eastAsia="仿宋" w:cs="仿宋"/>
          <w:bCs/>
          <w:kern w:val="44"/>
          <w:sz w:val="32"/>
          <w:szCs w:val="32"/>
          <w:u w:val="none"/>
        </w:rPr>
      </w:pPr>
      <w:r>
        <w:rPr>
          <w:rFonts w:hint="eastAsia" w:ascii="仿宋" w:hAnsi="仿宋" w:eastAsia="仿宋" w:cs="仿宋"/>
          <w:b/>
          <w:kern w:val="44"/>
          <w:sz w:val="32"/>
          <w:szCs w:val="32"/>
          <w:u w:val="none"/>
        </w:rPr>
        <w:t>财政拨款收入</w:t>
      </w:r>
      <w:r>
        <w:rPr>
          <w:rFonts w:hint="eastAsia" w:ascii="仿宋" w:hAnsi="仿宋" w:eastAsia="仿宋" w:cs="仿宋"/>
          <w:bCs/>
          <w:kern w:val="44"/>
          <w:sz w:val="32"/>
          <w:szCs w:val="32"/>
          <w:u w:val="none"/>
        </w:rPr>
        <w:t>：指财政部门当年预算拨付的资金。</w:t>
      </w:r>
    </w:p>
    <w:p>
      <w:pPr>
        <w:tabs>
          <w:tab w:val="left" w:pos="0"/>
        </w:tabs>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
          <w:kern w:val="44"/>
          <w:sz w:val="32"/>
          <w:szCs w:val="32"/>
          <w:u w:val="none"/>
        </w:rPr>
        <w:t xml:space="preserve">    二、事业收入</w:t>
      </w:r>
      <w:r>
        <w:rPr>
          <w:rFonts w:hint="eastAsia" w:ascii="仿宋" w:hAnsi="仿宋" w:eastAsia="仿宋" w:cs="仿宋"/>
          <w:bCs/>
          <w:kern w:val="44"/>
          <w:sz w:val="32"/>
          <w:szCs w:val="32"/>
          <w:u w:val="none"/>
        </w:rPr>
        <w:t>：指事业单位开展专项业务活动及辅助活动所取得的收入。如：某杂志社的刊物发行收入，某协会收取的会费收入。</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
          <w:kern w:val="44"/>
          <w:sz w:val="32"/>
          <w:szCs w:val="32"/>
          <w:u w:val="none"/>
        </w:rPr>
        <w:t xml:space="preserve">    三、经营收入：</w:t>
      </w:r>
      <w:r>
        <w:rPr>
          <w:rFonts w:hint="eastAsia" w:ascii="仿宋" w:hAnsi="仿宋" w:eastAsia="仿宋" w:cs="仿宋"/>
          <w:bCs/>
          <w:kern w:val="44"/>
          <w:sz w:val="32"/>
          <w:szCs w:val="32"/>
          <w:u w:val="none"/>
        </w:rPr>
        <w:t>指事业单位在专业业务活动及其辅助活动之外开展非独立核算经营活动取得的收入。</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
          <w:kern w:val="44"/>
          <w:sz w:val="32"/>
          <w:szCs w:val="32"/>
          <w:u w:val="none"/>
        </w:rPr>
        <w:t xml:space="preserve">    四、其他收入：</w:t>
      </w:r>
      <w:r>
        <w:rPr>
          <w:rFonts w:hint="eastAsia" w:ascii="仿宋" w:hAnsi="仿宋" w:eastAsia="仿宋" w:cs="仿宋"/>
          <w:bCs/>
          <w:kern w:val="44"/>
          <w:sz w:val="32"/>
          <w:szCs w:val="32"/>
          <w:u w:val="none"/>
        </w:rPr>
        <w:t>指除“财政拨款收入”、“事业收入”、“经营收入”等以外的收入。</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五、用事业基金弥补收支差额：</w:t>
      </w:r>
      <w:r>
        <w:rPr>
          <w:rFonts w:hint="eastAsia" w:ascii="仿宋" w:hAnsi="仿宋" w:eastAsia="仿宋" w:cs="仿宋"/>
          <w:bCs/>
          <w:kern w:val="44"/>
          <w:sz w:val="32"/>
          <w:szCs w:val="32"/>
          <w:u w:val="none"/>
        </w:rPr>
        <w:t>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六、年初结转和结余：</w:t>
      </w:r>
      <w:r>
        <w:rPr>
          <w:rFonts w:hint="eastAsia" w:ascii="仿宋" w:hAnsi="仿宋" w:eastAsia="仿宋" w:cs="仿宋"/>
          <w:bCs/>
          <w:kern w:val="44"/>
          <w:sz w:val="32"/>
          <w:szCs w:val="32"/>
          <w:u w:val="none"/>
        </w:rPr>
        <w:t>指以前年度尚未完成、结转到本年按有关规定继续使用的资金。</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七、结余分配：</w:t>
      </w:r>
      <w:r>
        <w:rPr>
          <w:rFonts w:hint="eastAsia" w:ascii="仿宋" w:hAnsi="仿宋" w:eastAsia="仿宋" w:cs="仿宋"/>
          <w:bCs/>
          <w:kern w:val="44"/>
          <w:sz w:val="32"/>
          <w:szCs w:val="32"/>
          <w:u w:val="none"/>
        </w:rPr>
        <w:t>是指事业单位按照规定提取的职工福利基金、事业基金和缴纳的所得税，以及建设单位按规定应交回的基本建设竣工项目结余资金。</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八、年末结转和结余：</w:t>
      </w:r>
      <w:r>
        <w:rPr>
          <w:rFonts w:hint="eastAsia" w:ascii="仿宋" w:hAnsi="仿宋" w:eastAsia="仿宋" w:cs="仿宋"/>
          <w:bCs/>
          <w:kern w:val="44"/>
          <w:sz w:val="32"/>
          <w:szCs w:val="32"/>
          <w:u w:val="none"/>
        </w:rPr>
        <w:t>指本年度或以前年度预算安排，因客观条件发生变化无法按原计划实施，需要延迟到以后年度按有关规定继续使用的资金。</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九、基本支出：</w:t>
      </w:r>
      <w:r>
        <w:rPr>
          <w:rFonts w:hint="eastAsia" w:ascii="仿宋" w:hAnsi="仿宋" w:eastAsia="仿宋" w:cs="仿宋"/>
          <w:bCs/>
          <w:kern w:val="44"/>
          <w:sz w:val="32"/>
          <w:szCs w:val="32"/>
          <w:u w:val="none"/>
        </w:rPr>
        <w:t>指为保障机构正常运转、完成日常工作任务而发生的人员支出和公用支出。</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Cs/>
          <w:kern w:val="44"/>
          <w:sz w:val="32"/>
          <w:szCs w:val="32"/>
          <w:u w:val="none"/>
        </w:rPr>
        <w:t xml:space="preserve">    </w:t>
      </w:r>
      <w:r>
        <w:rPr>
          <w:rFonts w:hint="eastAsia" w:ascii="仿宋" w:hAnsi="仿宋" w:eastAsia="仿宋" w:cs="仿宋"/>
          <w:b/>
          <w:kern w:val="44"/>
          <w:sz w:val="32"/>
          <w:szCs w:val="32"/>
          <w:u w:val="none"/>
        </w:rPr>
        <w:t>十、项目支出：</w:t>
      </w:r>
      <w:r>
        <w:rPr>
          <w:rFonts w:hint="eastAsia" w:ascii="仿宋" w:hAnsi="仿宋" w:eastAsia="仿宋" w:cs="仿宋"/>
          <w:bCs/>
          <w:kern w:val="44"/>
          <w:sz w:val="32"/>
          <w:szCs w:val="32"/>
          <w:u w:val="none"/>
        </w:rPr>
        <w:t>指在基本支出之外为完成特定行政任务和事业发展目标所发生的支出。</w:t>
      </w:r>
    </w:p>
    <w:p>
      <w:pPr>
        <w:adjustRightInd w:val="0"/>
        <w:snapToGrid w:val="0"/>
        <w:spacing w:line="560" w:lineRule="atLeast"/>
        <w:rPr>
          <w:rFonts w:hint="eastAsia" w:ascii="仿宋" w:hAnsi="仿宋" w:eastAsia="仿宋" w:cs="仿宋"/>
          <w:bCs/>
          <w:kern w:val="44"/>
          <w:sz w:val="32"/>
          <w:szCs w:val="32"/>
          <w:u w:val="none"/>
        </w:rPr>
      </w:pPr>
      <w:r>
        <w:rPr>
          <w:rFonts w:hint="eastAsia" w:ascii="仿宋" w:hAnsi="仿宋" w:eastAsia="仿宋" w:cs="仿宋"/>
          <w:b/>
          <w:kern w:val="44"/>
          <w:sz w:val="32"/>
          <w:szCs w:val="32"/>
          <w:u w:val="none"/>
        </w:rPr>
        <w:t xml:space="preserve">    十一、经营支出：</w:t>
      </w:r>
      <w:r>
        <w:rPr>
          <w:rFonts w:hint="eastAsia" w:ascii="仿宋" w:hAnsi="仿宋" w:eastAsia="仿宋" w:cs="仿宋"/>
          <w:bCs/>
          <w:kern w:val="44"/>
          <w:sz w:val="32"/>
          <w:szCs w:val="32"/>
          <w:u w:val="none"/>
        </w:rPr>
        <w:t>指事业单位在专业业务活动及其辅助活动之外开展非独立核算经营活动发生的支出。</w:t>
      </w:r>
    </w:p>
    <w:p>
      <w:pPr>
        <w:adjustRightInd w:val="0"/>
        <w:snapToGrid w:val="0"/>
        <w:spacing w:line="560" w:lineRule="atLeast"/>
        <w:rPr>
          <w:rFonts w:hint="eastAsia" w:ascii="仿宋" w:hAnsi="仿宋" w:eastAsia="仿宋" w:cs="仿宋"/>
          <w:sz w:val="32"/>
          <w:szCs w:val="32"/>
          <w:u w:val="none"/>
        </w:rPr>
      </w:pPr>
      <w:r>
        <w:rPr>
          <w:rFonts w:hint="eastAsia" w:ascii="仿宋" w:hAnsi="仿宋" w:eastAsia="仿宋" w:cs="仿宋"/>
          <w:b/>
          <w:bCs/>
          <w:kern w:val="44"/>
          <w:sz w:val="32"/>
          <w:szCs w:val="32"/>
          <w:u w:val="none"/>
        </w:rPr>
        <w:t xml:space="preserve">    十二、机关运行经费支出:</w:t>
      </w:r>
      <w:r>
        <w:rPr>
          <w:rFonts w:hint="eastAsia" w:ascii="仿宋" w:hAnsi="仿宋" w:eastAsia="仿宋" w:cs="仿宋"/>
          <w:kern w:val="44"/>
          <w:sz w:val="32"/>
          <w:szCs w:val="32"/>
          <w:u w:val="none"/>
        </w:rPr>
        <w:t>指为保证</w:t>
      </w:r>
      <w:r>
        <w:rPr>
          <w:rFonts w:hint="eastAsia" w:ascii="仿宋" w:hAnsi="仿宋" w:eastAsia="仿宋" w:cs="仿宋"/>
          <w:sz w:val="32"/>
          <w:szCs w:val="32"/>
          <w:u w:val="none"/>
        </w:rPr>
        <w:t>行政单位和参照公务员法管理事业单位运行用于购买货物和服务的支出。包括办公及印刷费、水电费、邮电费、取暖费、交通费、差旅费、会议费、福利费、物业管理费、日常维修费、专用材料费、一般购置费、公务用车运行维护费及其他费用。</w:t>
      </w:r>
    </w:p>
    <w:p>
      <w:pPr>
        <w:adjustRightInd w:val="0"/>
        <w:snapToGrid w:val="0"/>
        <w:spacing w:line="560" w:lineRule="atLeast"/>
        <w:ind w:firstLine="643" w:firstLineChars="200"/>
        <w:rPr>
          <w:rFonts w:hint="eastAsia" w:ascii="仿宋" w:hAnsi="仿宋" w:eastAsia="仿宋" w:cs="仿宋"/>
          <w:sz w:val="32"/>
          <w:szCs w:val="32"/>
          <w:u w:val="none"/>
        </w:rPr>
      </w:pPr>
      <w:r>
        <w:rPr>
          <w:rFonts w:hint="eastAsia" w:ascii="仿宋" w:hAnsi="仿宋" w:eastAsia="仿宋" w:cs="仿宋"/>
          <w:b/>
          <w:bCs/>
          <w:sz w:val="32"/>
          <w:szCs w:val="32"/>
          <w:u w:val="none"/>
        </w:rPr>
        <w:t>十三、“三公”经费支出：</w:t>
      </w:r>
      <w:r>
        <w:rPr>
          <w:rFonts w:hint="eastAsia" w:ascii="仿宋" w:hAnsi="仿宋" w:eastAsia="仿宋" w:cs="仿宋"/>
          <w:sz w:val="32"/>
          <w:szCs w:val="32"/>
          <w:u w:val="none"/>
        </w:rPr>
        <w:t>指政府部门人员用财政拨款安排的因公出国（境）费、公务用车购置及运行维护费和公务招待费。其中，因公出国（境）费反映单位公务出国（境）的国际旅游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adjustRightInd w:val="0"/>
        <w:snapToGrid w:val="0"/>
        <w:spacing w:line="560" w:lineRule="atLeast"/>
        <w:ind w:firstLine="643" w:firstLineChars="200"/>
        <w:rPr>
          <w:rFonts w:hint="eastAsia" w:ascii="仿宋" w:hAnsi="仿宋" w:eastAsia="仿宋" w:cs="仿宋"/>
          <w:b/>
          <w:bCs/>
          <w:kern w:val="44"/>
          <w:sz w:val="32"/>
          <w:szCs w:val="32"/>
          <w:u w:val="none"/>
          <w:lang w:eastAsia="zh-CN"/>
        </w:rPr>
      </w:pPr>
      <w:r>
        <w:rPr>
          <w:rFonts w:hint="eastAsia" w:ascii="仿宋" w:hAnsi="仿宋" w:eastAsia="仿宋" w:cs="仿宋"/>
          <w:b/>
          <w:bCs/>
          <w:sz w:val="32"/>
          <w:szCs w:val="32"/>
          <w:u w:val="none"/>
        </w:rPr>
        <w:t>十四、</w:t>
      </w:r>
      <w:r>
        <w:rPr>
          <w:rFonts w:hint="eastAsia" w:ascii="仿宋" w:hAnsi="仿宋" w:eastAsia="仿宋" w:cs="仿宋"/>
          <w:b/>
          <w:bCs/>
          <w:kern w:val="44"/>
          <w:sz w:val="32"/>
          <w:szCs w:val="32"/>
          <w:u w:val="none"/>
        </w:rPr>
        <w:t>一般公共服务支出(类)人大事务（款）行政运行（项）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是指行政单位（包括实行公务员管理的事业单位）的基本支出。</w:t>
      </w:r>
    </w:p>
    <w:p>
      <w:pPr>
        <w:adjustRightInd w:val="0"/>
        <w:snapToGrid w:val="0"/>
        <w:spacing w:line="560" w:lineRule="atLeast"/>
        <w:ind w:firstLine="643" w:firstLineChars="200"/>
        <w:rPr>
          <w:rFonts w:hint="default" w:ascii="仿宋" w:hAnsi="仿宋" w:eastAsia="仿宋" w:cs="仿宋"/>
          <w:b w:val="0"/>
          <w:bCs w:val="0"/>
          <w:kern w:val="44"/>
          <w:sz w:val="32"/>
          <w:szCs w:val="32"/>
          <w:u w:val="none"/>
          <w:lang w:val="en-US" w:eastAsia="zh-CN"/>
        </w:rPr>
      </w:pPr>
      <w:r>
        <w:rPr>
          <w:rFonts w:hint="eastAsia" w:ascii="仿宋" w:hAnsi="仿宋" w:eastAsia="仿宋" w:cs="仿宋"/>
          <w:b/>
          <w:bCs/>
          <w:kern w:val="44"/>
          <w:sz w:val="32"/>
          <w:szCs w:val="32"/>
          <w:u w:val="none"/>
          <w:lang w:val="en-US" w:eastAsia="zh-CN"/>
        </w:rPr>
        <w:t>十五、</w:t>
      </w:r>
      <w:r>
        <w:rPr>
          <w:rFonts w:hint="eastAsia" w:ascii="仿宋" w:hAnsi="仿宋" w:eastAsia="仿宋" w:cs="仿宋"/>
          <w:b/>
          <w:bCs/>
          <w:kern w:val="44"/>
          <w:sz w:val="32"/>
          <w:szCs w:val="32"/>
          <w:u w:val="none"/>
        </w:rPr>
        <w:t>一般公共服务支出(类)人大事务（款）一般行政管理事务（项）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w:t>
      </w:r>
      <w:r>
        <w:rPr>
          <w:rFonts w:hint="eastAsia" w:ascii="仿宋" w:hAnsi="仿宋" w:eastAsia="仿宋" w:cs="仿宋"/>
          <w:b w:val="0"/>
          <w:bCs w:val="0"/>
          <w:kern w:val="44"/>
          <w:sz w:val="32"/>
          <w:szCs w:val="32"/>
          <w:u w:val="none"/>
          <w:lang w:eastAsia="zh-CN"/>
        </w:rPr>
        <w:t>指行政单位（包括实行公务员管理的事业单位）</w:t>
      </w:r>
      <w:r>
        <w:rPr>
          <w:rFonts w:hint="eastAsia" w:ascii="仿宋" w:hAnsi="仿宋" w:eastAsia="仿宋" w:cs="仿宋"/>
          <w:b w:val="0"/>
          <w:bCs w:val="0"/>
          <w:kern w:val="44"/>
          <w:sz w:val="32"/>
          <w:szCs w:val="32"/>
          <w:u w:val="none"/>
          <w:lang w:val="en-US" w:eastAsia="zh-CN"/>
        </w:rPr>
        <w:t>的其他项目支出。</w:t>
      </w:r>
    </w:p>
    <w:p>
      <w:pPr>
        <w:adjustRightInd w:val="0"/>
        <w:snapToGrid w:val="0"/>
        <w:spacing w:line="560" w:lineRule="atLeast"/>
        <w:ind w:firstLine="643" w:firstLineChars="200"/>
        <w:rPr>
          <w:rFonts w:hint="eastAsia" w:ascii="仿宋" w:hAnsi="仿宋" w:eastAsia="仿宋" w:cs="仿宋"/>
          <w:b/>
          <w:bCs/>
          <w:kern w:val="44"/>
          <w:sz w:val="32"/>
          <w:szCs w:val="32"/>
          <w:u w:val="none"/>
          <w:lang w:eastAsia="zh-CN"/>
        </w:rPr>
      </w:pPr>
      <w:r>
        <w:rPr>
          <w:rFonts w:hint="eastAsia" w:ascii="仿宋" w:hAnsi="仿宋" w:eastAsia="仿宋" w:cs="仿宋"/>
          <w:b/>
          <w:bCs/>
          <w:kern w:val="44"/>
          <w:sz w:val="32"/>
          <w:szCs w:val="32"/>
          <w:u w:val="none"/>
          <w:lang w:val="en-US" w:eastAsia="zh-CN"/>
        </w:rPr>
        <w:t>十六、</w:t>
      </w:r>
      <w:r>
        <w:rPr>
          <w:rFonts w:hint="eastAsia" w:ascii="仿宋" w:hAnsi="仿宋" w:eastAsia="仿宋" w:cs="仿宋"/>
          <w:b/>
          <w:bCs/>
          <w:kern w:val="44"/>
          <w:sz w:val="32"/>
          <w:szCs w:val="32"/>
          <w:u w:val="none"/>
        </w:rPr>
        <w:t>一般公共服务支出(类)人大事务（款）人大会议（项）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是指各级人大召开人民代表大会等专门会议的支出。</w:t>
      </w:r>
    </w:p>
    <w:p>
      <w:pPr>
        <w:adjustRightInd w:val="0"/>
        <w:snapToGrid w:val="0"/>
        <w:spacing w:line="560" w:lineRule="atLeast"/>
        <w:ind w:firstLine="643" w:firstLineChars="200"/>
        <w:rPr>
          <w:rFonts w:hint="default" w:ascii="仿宋" w:hAnsi="仿宋" w:eastAsia="仿宋" w:cs="仿宋"/>
          <w:b w:val="0"/>
          <w:bCs w:val="0"/>
          <w:kern w:val="44"/>
          <w:sz w:val="32"/>
          <w:szCs w:val="32"/>
          <w:u w:val="none"/>
          <w:lang w:val="en-US" w:eastAsia="zh-CN"/>
        </w:rPr>
      </w:pPr>
      <w:r>
        <w:rPr>
          <w:rFonts w:hint="eastAsia" w:ascii="仿宋" w:hAnsi="仿宋" w:eastAsia="仿宋" w:cs="仿宋"/>
          <w:b/>
          <w:bCs/>
          <w:kern w:val="44"/>
          <w:sz w:val="32"/>
          <w:szCs w:val="32"/>
          <w:u w:val="none"/>
          <w:lang w:val="en-US" w:eastAsia="zh-CN"/>
        </w:rPr>
        <w:t>十七、</w:t>
      </w:r>
      <w:r>
        <w:rPr>
          <w:rFonts w:hint="eastAsia" w:ascii="仿宋" w:hAnsi="仿宋" w:eastAsia="仿宋" w:cs="仿宋"/>
          <w:b/>
          <w:bCs/>
          <w:kern w:val="44"/>
          <w:sz w:val="32"/>
          <w:szCs w:val="32"/>
          <w:u w:val="none"/>
        </w:rPr>
        <w:t>一般公共服务支出(类)人大事务（款）代表工作（项）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是指人大代表开展各类视察等方面的支出。</w:t>
      </w:r>
    </w:p>
    <w:p>
      <w:pPr>
        <w:adjustRightInd w:val="0"/>
        <w:snapToGrid w:val="0"/>
        <w:spacing w:line="560" w:lineRule="atLeast"/>
        <w:ind w:firstLine="643" w:firstLineChars="200"/>
        <w:rPr>
          <w:rFonts w:hint="eastAsia" w:ascii="仿宋" w:hAnsi="仿宋" w:eastAsia="仿宋" w:cs="仿宋"/>
          <w:b/>
          <w:bCs/>
          <w:kern w:val="44"/>
          <w:sz w:val="32"/>
          <w:szCs w:val="32"/>
          <w:u w:val="none"/>
          <w:lang w:eastAsia="zh-CN"/>
        </w:rPr>
      </w:pPr>
      <w:r>
        <w:rPr>
          <w:rFonts w:hint="eastAsia" w:ascii="仿宋" w:hAnsi="仿宋" w:eastAsia="仿宋" w:cs="仿宋"/>
          <w:b/>
          <w:bCs/>
          <w:kern w:val="44"/>
          <w:sz w:val="32"/>
          <w:szCs w:val="32"/>
          <w:u w:val="none"/>
          <w:lang w:val="en-US" w:eastAsia="zh-CN"/>
        </w:rPr>
        <w:t>十八、</w:t>
      </w:r>
      <w:r>
        <w:rPr>
          <w:rFonts w:hint="eastAsia" w:ascii="仿宋" w:hAnsi="仿宋" w:eastAsia="仿宋" w:cs="仿宋"/>
          <w:b/>
          <w:bCs/>
          <w:kern w:val="44"/>
          <w:sz w:val="32"/>
          <w:szCs w:val="32"/>
          <w:u w:val="none"/>
        </w:rPr>
        <w:t>一般公共服务支出(类)人大事务（款）其他人大事务支出（项）</w:t>
      </w:r>
      <w:r>
        <w:rPr>
          <w:rFonts w:hint="eastAsia" w:ascii="仿宋" w:hAnsi="仿宋" w:eastAsia="仿宋" w:cs="仿宋"/>
          <w:b/>
          <w:bCs/>
          <w:kern w:val="44"/>
          <w:sz w:val="32"/>
          <w:szCs w:val="32"/>
          <w:u w:val="none"/>
          <w:lang w:eastAsia="zh-CN"/>
        </w:rPr>
        <w:t>：</w:t>
      </w:r>
      <w:r>
        <w:rPr>
          <w:rFonts w:hint="eastAsia" w:ascii="仿宋" w:hAnsi="仿宋" w:eastAsia="仿宋" w:cs="仿宋"/>
          <w:i w:val="0"/>
          <w:iCs w:val="0"/>
          <w:caps w:val="0"/>
          <w:spacing w:val="0"/>
          <w:sz w:val="32"/>
          <w:szCs w:val="32"/>
          <w:shd w:val="clear" w:color="auto" w:fill="FFFFFF"/>
        </w:rPr>
        <w:t>是指除上述项目以外的其他人大事务支出。</w:t>
      </w:r>
    </w:p>
    <w:p>
      <w:pPr>
        <w:adjustRightInd w:val="0"/>
        <w:snapToGrid w:val="0"/>
        <w:spacing w:line="560" w:lineRule="atLeast"/>
        <w:ind w:firstLine="643" w:firstLineChars="200"/>
        <w:rPr>
          <w:rFonts w:hint="eastAsia" w:ascii="仿宋" w:hAnsi="仿宋" w:eastAsia="仿宋" w:cs="仿宋"/>
          <w:b/>
          <w:bCs/>
          <w:kern w:val="44"/>
          <w:sz w:val="32"/>
          <w:szCs w:val="32"/>
          <w:u w:val="none"/>
          <w:lang w:val="en-US" w:eastAsia="zh-CN"/>
        </w:rPr>
      </w:pPr>
      <w:r>
        <w:rPr>
          <w:rFonts w:hint="eastAsia" w:ascii="仿宋" w:hAnsi="仿宋" w:eastAsia="仿宋" w:cs="仿宋"/>
          <w:b/>
          <w:bCs/>
          <w:kern w:val="44"/>
          <w:sz w:val="32"/>
          <w:szCs w:val="32"/>
          <w:u w:val="none"/>
          <w:lang w:val="en-US" w:eastAsia="zh-CN"/>
        </w:rPr>
        <w:t>十九、</w:t>
      </w:r>
      <w:r>
        <w:rPr>
          <w:rFonts w:hint="eastAsia" w:ascii="仿宋" w:hAnsi="仿宋" w:eastAsia="仿宋" w:cs="仿宋"/>
          <w:b/>
          <w:bCs/>
          <w:kern w:val="44"/>
          <w:sz w:val="32"/>
          <w:szCs w:val="32"/>
          <w:u w:val="none"/>
        </w:rPr>
        <w:t>社会保障和就业支出(类)人力资源和社会保障管理事务（款）其他人力资源和社会保障管理事务支出（项）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是指</w:t>
      </w:r>
      <w:r>
        <w:rPr>
          <w:rFonts w:hint="eastAsia" w:ascii="仿宋" w:hAnsi="仿宋" w:eastAsia="仿宋" w:cs="仿宋"/>
          <w:i w:val="0"/>
          <w:iCs w:val="0"/>
          <w:caps w:val="0"/>
          <w:spacing w:val="0"/>
          <w:sz w:val="32"/>
          <w:szCs w:val="32"/>
          <w:shd w:val="clear" w:color="auto" w:fill="FFFFFF"/>
        </w:rPr>
        <w:t>除上述项目以外</w:t>
      </w:r>
      <w:r>
        <w:rPr>
          <w:rFonts w:hint="eastAsia" w:ascii="仿宋" w:hAnsi="仿宋" w:eastAsia="仿宋" w:cs="仿宋"/>
          <w:i w:val="0"/>
          <w:iCs w:val="0"/>
          <w:caps w:val="0"/>
          <w:spacing w:val="0"/>
          <w:sz w:val="32"/>
          <w:szCs w:val="32"/>
          <w:shd w:val="clear" w:color="auto" w:fill="FFFFFF"/>
          <w:lang w:val="en-US" w:eastAsia="zh-CN"/>
        </w:rPr>
        <w:t>其他用于人力资源和社会保障管理事务方面的支出</w:t>
      </w:r>
      <w:r>
        <w:rPr>
          <w:rFonts w:hint="eastAsia" w:ascii="仿宋" w:hAnsi="仿宋" w:eastAsia="仿宋" w:cs="仿宋"/>
          <w:i w:val="0"/>
          <w:iCs w:val="0"/>
          <w:caps w:val="0"/>
          <w:spacing w:val="0"/>
          <w:sz w:val="32"/>
          <w:szCs w:val="32"/>
          <w:shd w:val="clear" w:color="auto" w:fill="FFFFFF"/>
        </w:rPr>
        <w:t>。</w:t>
      </w:r>
    </w:p>
    <w:p>
      <w:pPr>
        <w:adjustRightInd w:val="0"/>
        <w:snapToGrid w:val="0"/>
        <w:spacing w:line="560" w:lineRule="atLeast"/>
        <w:ind w:firstLine="643" w:firstLineChars="200"/>
        <w:rPr>
          <w:rFonts w:hint="default" w:ascii="仿宋" w:hAnsi="仿宋" w:eastAsia="仿宋" w:cs="仿宋"/>
          <w:b w:val="0"/>
          <w:bCs w:val="0"/>
          <w:kern w:val="44"/>
          <w:sz w:val="32"/>
          <w:szCs w:val="32"/>
          <w:u w:val="none"/>
          <w:lang w:val="en-US" w:eastAsia="zh-CN"/>
        </w:rPr>
      </w:pPr>
      <w:r>
        <w:rPr>
          <w:rFonts w:hint="eastAsia" w:ascii="仿宋" w:hAnsi="仿宋" w:eastAsia="仿宋" w:cs="仿宋"/>
          <w:b/>
          <w:bCs/>
          <w:kern w:val="44"/>
          <w:sz w:val="32"/>
          <w:szCs w:val="32"/>
          <w:u w:val="none"/>
          <w:lang w:val="en-US" w:eastAsia="zh-CN"/>
        </w:rPr>
        <w:t>二十、</w:t>
      </w:r>
      <w:r>
        <w:rPr>
          <w:rFonts w:hint="eastAsia" w:ascii="仿宋" w:hAnsi="仿宋" w:eastAsia="仿宋" w:cs="仿宋"/>
          <w:b/>
          <w:bCs/>
          <w:kern w:val="44"/>
          <w:sz w:val="32"/>
          <w:szCs w:val="32"/>
          <w:u w:val="none"/>
        </w:rPr>
        <w:t>社会保障和就业支出(类)行政事业单位养老支出（款）行政单位离退休（项）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是指反映行政单位（包括实行公务员管理的事业单位）开支的离退休经费。</w:t>
      </w:r>
    </w:p>
    <w:p>
      <w:pPr>
        <w:adjustRightInd w:val="0"/>
        <w:snapToGrid w:val="0"/>
        <w:spacing w:line="560" w:lineRule="atLeast"/>
        <w:ind w:firstLine="643" w:firstLineChars="200"/>
        <w:rPr>
          <w:rFonts w:hint="default" w:ascii="仿宋" w:hAnsi="仿宋" w:eastAsia="仿宋" w:cs="仿宋"/>
          <w:b w:val="0"/>
          <w:bCs w:val="0"/>
          <w:kern w:val="44"/>
          <w:sz w:val="32"/>
          <w:szCs w:val="32"/>
          <w:u w:val="none"/>
          <w:lang w:val="en-US" w:eastAsia="zh-CN"/>
        </w:rPr>
      </w:pPr>
      <w:r>
        <w:rPr>
          <w:rFonts w:hint="eastAsia" w:ascii="仿宋" w:hAnsi="仿宋" w:eastAsia="仿宋" w:cs="仿宋"/>
          <w:b/>
          <w:bCs/>
          <w:kern w:val="44"/>
          <w:sz w:val="32"/>
          <w:szCs w:val="32"/>
          <w:u w:val="none"/>
          <w:lang w:val="en-US" w:eastAsia="zh-CN"/>
        </w:rPr>
        <w:t>二十一、</w:t>
      </w:r>
      <w:r>
        <w:rPr>
          <w:rFonts w:hint="eastAsia" w:ascii="仿宋" w:hAnsi="仿宋" w:eastAsia="仿宋" w:cs="仿宋"/>
          <w:b/>
          <w:bCs/>
          <w:kern w:val="44"/>
          <w:sz w:val="32"/>
          <w:szCs w:val="32"/>
          <w:u w:val="none"/>
        </w:rPr>
        <w:t>社会保障和就业支出(类)行政事业单位养老支出（款）机关事业单位基本养老保险缴费支出（项）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是指机关事业单位实施养老保险制度由单位缴纳的基本养老保险支出。</w:t>
      </w:r>
    </w:p>
    <w:p>
      <w:pPr>
        <w:adjustRightInd w:val="0"/>
        <w:snapToGrid w:val="0"/>
        <w:spacing w:line="560" w:lineRule="atLeast"/>
        <w:ind w:firstLine="643" w:firstLineChars="200"/>
        <w:rPr>
          <w:rFonts w:hint="eastAsia" w:ascii="仿宋" w:hAnsi="仿宋" w:eastAsia="仿宋" w:cs="仿宋"/>
          <w:b w:val="0"/>
          <w:bCs w:val="0"/>
          <w:kern w:val="44"/>
          <w:sz w:val="32"/>
          <w:szCs w:val="32"/>
          <w:u w:val="none"/>
          <w:lang w:eastAsia="zh-CN"/>
        </w:rPr>
      </w:pPr>
      <w:r>
        <w:rPr>
          <w:rFonts w:hint="eastAsia" w:ascii="仿宋" w:hAnsi="仿宋" w:eastAsia="仿宋" w:cs="仿宋"/>
          <w:b/>
          <w:bCs/>
          <w:kern w:val="44"/>
          <w:sz w:val="32"/>
          <w:szCs w:val="32"/>
          <w:u w:val="none"/>
          <w:lang w:val="en-US" w:eastAsia="zh-CN"/>
        </w:rPr>
        <w:t>二十二、</w:t>
      </w:r>
      <w:r>
        <w:rPr>
          <w:rFonts w:hint="eastAsia" w:ascii="仿宋" w:hAnsi="仿宋" w:eastAsia="仿宋" w:cs="仿宋"/>
          <w:b/>
          <w:bCs/>
          <w:kern w:val="44"/>
          <w:sz w:val="32"/>
          <w:szCs w:val="32"/>
          <w:u w:val="none"/>
        </w:rPr>
        <w:t>社会保障和就业支出(类)抚恤（款）死亡抚恤（项）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指按规定用于烈士和牺牲、病故人员家属的一次性和定期抚恤金以及丧葬补助费。</w:t>
      </w:r>
    </w:p>
    <w:p>
      <w:pPr>
        <w:adjustRightInd w:val="0"/>
        <w:snapToGrid w:val="0"/>
        <w:spacing w:line="560" w:lineRule="atLeast"/>
        <w:ind w:firstLine="643" w:firstLineChars="200"/>
        <w:rPr>
          <w:rFonts w:hint="default" w:ascii="仿宋" w:hAnsi="仿宋" w:eastAsia="仿宋" w:cs="仿宋"/>
          <w:b w:val="0"/>
          <w:bCs w:val="0"/>
          <w:kern w:val="44"/>
          <w:sz w:val="32"/>
          <w:szCs w:val="32"/>
          <w:u w:val="none"/>
          <w:lang w:val="en-US" w:eastAsia="zh-CN"/>
        </w:rPr>
      </w:pPr>
      <w:r>
        <w:rPr>
          <w:rFonts w:hint="eastAsia" w:ascii="仿宋" w:hAnsi="仿宋" w:eastAsia="仿宋" w:cs="仿宋"/>
          <w:b/>
          <w:bCs/>
          <w:kern w:val="44"/>
          <w:sz w:val="32"/>
          <w:szCs w:val="32"/>
          <w:u w:val="none"/>
          <w:lang w:val="en-US" w:eastAsia="zh-CN"/>
        </w:rPr>
        <w:t>二十三、</w:t>
      </w:r>
      <w:r>
        <w:rPr>
          <w:rFonts w:hint="eastAsia" w:ascii="仿宋" w:hAnsi="仿宋" w:eastAsia="仿宋" w:cs="仿宋"/>
          <w:b/>
          <w:bCs/>
          <w:kern w:val="44"/>
          <w:sz w:val="32"/>
          <w:szCs w:val="32"/>
          <w:u w:val="none"/>
        </w:rPr>
        <w:t>社会保障和就业支出(类)其他社会保障和就业支出（款）其他社会保障和就业支出（项）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val="en-US" w:eastAsia="zh-CN"/>
        </w:rPr>
        <w:t>是指反映除上述项目以外其他用于社会保障和就业方面的支出。</w:t>
      </w:r>
    </w:p>
    <w:p>
      <w:pPr>
        <w:adjustRightInd w:val="0"/>
        <w:snapToGrid w:val="0"/>
        <w:spacing w:line="560" w:lineRule="atLeast"/>
        <w:ind w:firstLine="643" w:firstLineChars="200"/>
        <w:rPr>
          <w:rFonts w:hint="eastAsia" w:ascii="仿宋" w:hAnsi="仿宋" w:eastAsia="仿宋" w:cs="仿宋"/>
          <w:b w:val="0"/>
          <w:bCs w:val="0"/>
          <w:kern w:val="44"/>
          <w:sz w:val="32"/>
          <w:szCs w:val="32"/>
          <w:u w:val="none"/>
          <w:lang w:eastAsia="zh-CN"/>
        </w:rPr>
      </w:pPr>
      <w:r>
        <w:rPr>
          <w:rFonts w:hint="eastAsia" w:ascii="仿宋" w:hAnsi="仿宋" w:eastAsia="仿宋" w:cs="仿宋"/>
          <w:b/>
          <w:bCs/>
          <w:kern w:val="44"/>
          <w:sz w:val="32"/>
          <w:szCs w:val="32"/>
          <w:u w:val="none"/>
          <w:lang w:val="en-US" w:eastAsia="zh-CN"/>
        </w:rPr>
        <w:t>二十四、</w:t>
      </w:r>
      <w:r>
        <w:rPr>
          <w:rFonts w:hint="eastAsia" w:ascii="仿宋" w:hAnsi="仿宋" w:eastAsia="仿宋" w:cs="仿宋"/>
          <w:b/>
          <w:bCs/>
          <w:kern w:val="44"/>
          <w:sz w:val="32"/>
          <w:szCs w:val="32"/>
          <w:u w:val="none"/>
        </w:rPr>
        <w:t>卫生健康支出(类)行政事业单位医疗（款）行政单位医疗（项）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指财政部门集中安排的行政单位基本医疗保险缴费经费，未参加医疗保险的行政单位的公费医疗经费，按国家规定享受离休人员、红军老战士待遇人员的医疗经费。</w:t>
      </w:r>
    </w:p>
    <w:p>
      <w:pPr>
        <w:adjustRightInd w:val="0"/>
        <w:snapToGrid w:val="0"/>
        <w:spacing w:line="560" w:lineRule="atLeast"/>
        <w:ind w:firstLine="643" w:firstLineChars="200"/>
        <w:rPr>
          <w:rFonts w:hint="eastAsia" w:ascii="仿宋" w:hAnsi="仿宋" w:eastAsia="仿宋" w:cs="仿宋"/>
          <w:b w:val="0"/>
          <w:bCs w:val="0"/>
          <w:kern w:val="44"/>
          <w:sz w:val="32"/>
          <w:szCs w:val="32"/>
          <w:u w:val="none"/>
          <w:lang w:eastAsia="zh-CN"/>
        </w:rPr>
      </w:pPr>
      <w:r>
        <w:rPr>
          <w:rFonts w:hint="eastAsia" w:ascii="仿宋" w:hAnsi="仿宋" w:eastAsia="仿宋" w:cs="仿宋"/>
          <w:b/>
          <w:bCs/>
          <w:kern w:val="44"/>
          <w:sz w:val="32"/>
          <w:szCs w:val="32"/>
          <w:u w:val="none"/>
          <w:lang w:val="en-US" w:eastAsia="zh-CN"/>
        </w:rPr>
        <w:t>二十五、</w:t>
      </w:r>
      <w:r>
        <w:rPr>
          <w:rFonts w:hint="eastAsia" w:ascii="仿宋" w:hAnsi="仿宋" w:eastAsia="仿宋" w:cs="仿宋"/>
          <w:b/>
          <w:bCs/>
          <w:kern w:val="44"/>
          <w:sz w:val="32"/>
          <w:szCs w:val="32"/>
          <w:u w:val="none"/>
        </w:rPr>
        <w:t>卫生健康支出(类)行政事业单位医疗（款）公务员医疗补助（项）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指财政部门集中安排的公务员医疗补助经费。</w:t>
      </w:r>
    </w:p>
    <w:p>
      <w:pPr>
        <w:adjustRightInd w:val="0"/>
        <w:snapToGrid w:val="0"/>
        <w:spacing w:line="560" w:lineRule="atLeast"/>
        <w:ind w:firstLine="643" w:firstLineChars="200"/>
        <w:rPr>
          <w:rFonts w:hint="eastAsia" w:ascii="仿宋" w:hAnsi="仿宋" w:eastAsia="仿宋" w:cs="仿宋"/>
          <w:b w:val="0"/>
          <w:bCs w:val="0"/>
          <w:kern w:val="44"/>
          <w:sz w:val="32"/>
          <w:szCs w:val="32"/>
          <w:u w:val="none"/>
          <w:lang w:eastAsia="zh-CN"/>
        </w:rPr>
      </w:pPr>
      <w:r>
        <w:rPr>
          <w:rFonts w:hint="eastAsia" w:ascii="仿宋" w:hAnsi="仿宋" w:eastAsia="仿宋" w:cs="仿宋"/>
          <w:b/>
          <w:bCs/>
          <w:kern w:val="44"/>
          <w:sz w:val="32"/>
          <w:szCs w:val="32"/>
          <w:u w:val="none"/>
          <w:lang w:val="en-US" w:eastAsia="zh-CN"/>
        </w:rPr>
        <w:t>二十六、</w:t>
      </w:r>
      <w:r>
        <w:rPr>
          <w:rFonts w:hint="eastAsia" w:ascii="仿宋" w:hAnsi="仿宋" w:eastAsia="仿宋" w:cs="仿宋"/>
          <w:b/>
          <w:bCs/>
          <w:kern w:val="44"/>
          <w:sz w:val="32"/>
          <w:szCs w:val="32"/>
          <w:u w:val="none"/>
        </w:rPr>
        <w:t>住房保障支出(类)住房改革支出（款）住房公积金（项）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指行政事业单位按人力资源和社会保障部、财政部规定的基本工资和津贴补贴以及规定比例为职工缴纳的住房公积金。</w:t>
      </w:r>
    </w:p>
    <w:p>
      <w:pPr>
        <w:adjustRightInd w:val="0"/>
        <w:snapToGrid w:val="0"/>
        <w:spacing w:line="560" w:lineRule="atLeast"/>
        <w:rPr>
          <w:rFonts w:hint="eastAsia" w:eastAsia="仿宋"/>
          <w:b w:val="0"/>
          <w:bCs w:val="0"/>
          <w:u w:val="none"/>
          <w:lang w:eastAsia="zh-CN"/>
        </w:rPr>
      </w:pPr>
      <w:r>
        <w:rPr>
          <w:rFonts w:hint="eastAsia" w:ascii="仿宋" w:hAnsi="仿宋" w:eastAsia="仿宋" w:cs="仿宋"/>
          <w:b/>
          <w:bCs/>
          <w:kern w:val="44"/>
          <w:sz w:val="32"/>
          <w:szCs w:val="32"/>
          <w:u w:val="none"/>
          <w:lang w:val="en-US" w:eastAsia="zh-CN"/>
        </w:rPr>
        <w:t xml:space="preserve">    二十七、</w:t>
      </w:r>
      <w:r>
        <w:rPr>
          <w:rFonts w:hint="eastAsia" w:ascii="仿宋" w:hAnsi="仿宋" w:eastAsia="仿宋" w:cs="仿宋"/>
          <w:b/>
          <w:bCs/>
          <w:kern w:val="44"/>
          <w:sz w:val="32"/>
          <w:szCs w:val="32"/>
          <w:u w:val="none"/>
        </w:rPr>
        <w:t>住房保障支出(类)住房改革支出（款）提租补贴（项）</w:t>
      </w:r>
      <w:r>
        <w:rPr>
          <w:rFonts w:hint="eastAsia" w:ascii="仿宋" w:hAnsi="仿宋" w:eastAsia="仿宋" w:cs="仿宋"/>
          <w:b/>
          <w:bCs/>
          <w:kern w:val="44"/>
          <w:sz w:val="32"/>
          <w:szCs w:val="32"/>
          <w:u w:val="none"/>
          <w:lang w:eastAsia="zh-CN"/>
        </w:rPr>
        <w:t>：</w:t>
      </w:r>
      <w:r>
        <w:rPr>
          <w:rFonts w:hint="eastAsia" w:ascii="仿宋" w:hAnsi="仿宋" w:eastAsia="仿宋" w:cs="仿宋"/>
          <w:b w:val="0"/>
          <w:bCs w:val="0"/>
          <w:kern w:val="44"/>
          <w:sz w:val="32"/>
          <w:szCs w:val="32"/>
          <w:u w:val="none"/>
          <w:lang w:eastAsia="zh-CN"/>
        </w:rPr>
        <w:t>指按房改政策规定的标准，行政事业单位向职工（含离退休人员）发放的租金补贴。</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left"/>
        <w:rPr>
          <w:rFonts w:hint="eastAsia"/>
          <w:lang w:val="en-US" w:eastAsia="zh-CN"/>
        </w:rPr>
      </w:pPr>
      <w:r>
        <w:rPr>
          <w:rFonts w:hint="eastAsia"/>
          <w:sz w:val="36"/>
          <w:szCs w:val="36"/>
          <w:lang w:val="en-US" w:eastAsia="zh-CN"/>
        </w:rPr>
        <w:t>附件：</w:t>
      </w:r>
      <w:r>
        <w:drawing>
          <wp:inline distT="0" distB="0" distL="114300" distR="114300">
            <wp:extent cx="5265420" cy="6756400"/>
            <wp:effectExtent l="0" t="0" r="11430" b="635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5265420" cy="6756400"/>
                    </a:xfrm>
                    <a:prstGeom prst="rect">
                      <a:avLst/>
                    </a:prstGeom>
                    <a:noFill/>
                    <a:ln>
                      <a:noFill/>
                    </a:ln>
                  </pic:spPr>
                </pic:pic>
              </a:graphicData>
            </a:graphic>
          </wp:inline>
        </w:drawing>
      </w:r>
      <w:r>
        <w:drawing>
          <wp:inline distT="0" distB="0" distL="114300" distR="114300">
            <wp:extent cx="5210175" cy="7839075"/>
            <wp:effectExtent l="0" t="0" r="9525"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5210175" cy="7839075"/>
                    </a:xfrm>
                    <a:prstGeom prst="rect">
                      <a:avLst/>
                    </a:prstGeom>
                    <a:noFill/>
                    <a:ln>
                      <a:noFill/>
                    </a:ln>
                  </pic:spPr>
                </pic:pic>
              </a:graphicData>
            </a:graphic>
          </wp:inline>
        </w:drawing>
      </w:r>
      <w:r>
        <w:drawing>
          <wp:inline distT="0" distB="0" distL="114300" distR="114300">
            <wp:extent cx="5191125" cy="674370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0"/>
                    <a:stretch>
                      <a:fillRect/>
                    </a:stretch>
                  </pic:blipFill>
                  <pic:spPr>
                    <a:xfrm>
                      <a:off x="0" y="0"/>
                      <a:ext cx="5191125" cy="6743700"/>
                    </a:xfrm>
                    <a:prstGeom prst="rect">
                      <a:avLst/>
                    </a:prstGeom>
                    <a:noFill/>
                    <a:ln>
                      <a:noFill/>
                    </a:ln>
                  </pic:spPr>
                </pic:pic>
              </a:graphicData>
            </a:graphic>
          </wp:inline>
        </w:drawing>
      </w:r>
      <w:r>
        <w:drawing>
          <wp:inline distT="0" distB="0" distL="114300" distR="114300">
            <wp:extent cx="5210175" cy="7334250"/>
            <wp:effectExtent l="0" t="0" r="9525"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1"/>
                    <a:stretch>
                      <a:fillRect/>
                    </a:stretch>
                  </pic:blipFill>
                  <pic:spPr>
                    <a:xfrm>
                      <a:off x="0" y="0"/>
                      <a:ext cx="5210175" cy="7334250"/>
                    </a:xfrm>
                    <a:prstGeom prst="rect">
                      <a:avLst/>
                    </a:prstGeom>
                    <a:noFill/>
                    <a:ln>
                      <a:noFill/>
                    </a:ln>
                  </pic:spPr>
                </pic:pic>
              </a:graphicData>
            </a:graphic>
          </wp:inline>
        </w:drawing>
      </w:r>
      <w:r>
        <w:drawing>
          <wp:inline distT="0" distB="0" distL="114300" distR="114300">
            <wp:extent cx="5191125" cy="5219700"/>
            <wp:effectExtent l="0" t="0" r="952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2"/>
                    <a:stretch>
                      <a:fillRect/>
                    </a:stretch>
                  </pic:blipFill>
                  <pic:spPr>
                    <a:xfrm>
                      <a:off x="0" y="0"/>
                      <a:ext cx="5191125" cy="5219700"/>
                    </a:xfrm>
                    <a:prstGeom prst="rect">
                      <a:avLst/>
                    </a:prstGeom>
                    <a:noFill/>
                    <a:ln>
                      <a:noFill/>
                    </a:ln>
                  </pic:spPr>
                </pic:pic>
              </a:graphicData>
            </a:graphic>
          </wp:inline>
        </w:drawing>
      </w:r>
      <w:r>
        <w:drawing>
          <wp:inline distT="0" distB="0" distL="114300" distR="114300">
            <wp:extent cx="5238750" cy="7334250"/>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3"/>
                    <a:stretch>
                      <a:fillRect/>
                    </a:stretch>
                  </pic:blipFill>
                  <pic:spPr>
                    <a:xfrm>
                      <a:off x="0" y="0"/>
                      <a:ext cx="5238750" cy="7334250"/>
                    </a:xfrm>
                    <a:prstGeom prst="rect">
                      <a:avLst/>
                    </a:prstGeom>
                    <a:noFill/>
                    <a:ln>
                      <a:noFill/>
                    </a:ln>
                  </pic:spPr>
                </pic:pic>
              </a:graphicData>
            </a:graphic>
          </wp:inline>
        </w:drawing>
      </w:r>
      <w:r>
        <w:drawing>
          <wp:inline distT="0" distB="0" distL="114300" distR="114300">
            <wp:extent cx="5219700" cy="5267325"/>
            <wp:effectExtent l="0" t="0" r="0"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4"/>
                    <a:stretch>
                      <a:fillRect/>
                    </a:stretch>
                  </pic:blipFill>
                  <pic:spPr>
                    <a:xfrm>
                      <a:off x="0" y="0"/>
                      <a:ext cx="5219700" cy="5267325"/>
                    </a:xfrm>
                    <a:prstGeom prst="rect">
                      <a:avLst/>
                    </a:prstGeom>
                    <a:noFill/>
                    <a:ln>
                      <a:noFill/>
                    </a:ln>
                  </pic:spPr>
                </pic:pic>
              </a:graphicData>
            </a:graphic>
          </wp:inline>
        </w:drawing>
      </w:r>
      <w:r>
        <w:drawing>
          <wp:inline distT="0" distB="0" distL="114300" distR="114300">
            <wp:extent cx="5210175" cy="7315200"/>
            <wp:effectExtent l="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5"/>
                    <a:stretch>
                      <a:fillRect/>
                    </a:stretch>
                  </pic:blipFill>
                  <pic:spPr>
                    <a:xfrm>
                      <a:off x="0" y="0"/>
                      <a:ext cx="5210175" cy="7315200"/>
                    </a:xfrm>
                    <a:prstGeom prst="rect">
                      <a:avLst/>
                    </a:prstGeom>
                    <a:noFill/>
                    <a:ln>
                      <a:noFill/>
                    </a:ln>
                  </pic:spPr>
                </pic:pic>
              </a:graphicData>
            </a:graphic>
          </wp:inline>
        </w:drawing>
      </w:r>
      <w:r>
        <w:drawing>
          <wp:inline distT="0" distB="0" distL="114300" distR="114300">
            <wp:extent cx="5210175" cy="4867275"/>
            <wp:effectExtent l="0" t="0" r="9525" b="952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6"/>
                    <a:stretch>
                      <a:fillRect/>
                    </a:stretch>
                  </pic:blipFill>
                  <pic:spPr>
                    <a:xfrm>
                      <a:off x="0" y="0"/>
                      <a:ext cx="5210175" cy="4867275"/>
                    </a:xfrm>
                    <a:prstGeom prst="rect">
                      <a:avLst/>
                    </a:prstGeom>
                    <a:noFill/>
                    <a:ln>
                      <a:noFill/>
                    </a:ln>
                  </pic:spPr>
                </pic:pic>
              </a:graphicData>
            </a:graphic>
          </wp:inline>
        </w:drawing>
      </w:r>
      <w:r>
        <w:drawing>
          <wp:inline distT="0" distB="0" distL="114300" distR="114300">
            <wp:extent cx="4752975" cy="6410325"/>
            <wp:effectExtent l="0" t="0" r="9525" b="952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7"/>
                    <a:stretch>
                      <a:fillRect/>
                    </a:stretch>
                  </pic:blipFill>
                  <pic:spPr>
                    <a:xfrm>
                      <a:off x="0" y="0"/>
                      <a:ext cx="4752975" cy="6410325"/>
                    </a:xfrm>
                    <a:prstGeom prst="rect">
                      <a:avLst/>
                    </a:prstGeom>
                    <a:noFill/>
                    <a:ln>
                      <a:noFill/>
                    </a:ln>
                  </pic:spPr>
                </pic:pic>
              </a:graphicData>
            </a:graphic>
          </wp:inline>
        </w:drawing>
      </w:r>
      <w:r>
        <w:drawing>
          <wp:inline distT="0" distB="0" distL="114300" distR="114300">
            <wp:extent cx="4667250" cy="2153285"/>
            <wp:effectExtent l="0" t="0" r="0" b="1841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8"/>
                    <a:stretch>
                      <a:fillRect/>
                    </a:stretch>
                  </pic:blipFill>
                  <pic:spPr>
                    <a:xfrm>
                      <a:off x="0" y="0"/>
                      <a:ext cx="4667250" cy="2153285"/>
                    </a:xfrm>
                    <a:prstGeom prst="rect">
                      <a:avLst/>
                    </a:prstGeom>
                    <a:noFill/>
                    <a:ln>
                      <a:noFill/>
                    </a:ln>
                  </pic:spPr>
                </pic:pic>
              </a:graphicData>
            </a:graphic>
          </wp:inline>
        </w:drawing>
      </w:r>
      <w:r>
        <w:drawing>
          <wp:inline distT="0" distB="0" distL="114300" distR="114300">
            <wp:extent cx="4667250" cy="6229350"/>
            <wp:effectExtent l="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9"/>
                    <a:stretch>
                      <a:fillRect/>
                    </a:stretch>
                  </pic:blipFill>
                  <pic:spPr>
                    <a:xfrm>
                      <a:off x="0" y="0"/>
                      <a:ext cx="4667250" cy="6229350"/>
                    </a:xfrm>
                    <a:prstGeom prst="rect">
                      <a:avLst/>
                    </a:prstGeom>
                    <a:noFill/>
                    <a:ln>
                      <a:noFill/>
                    </a:ln>
                  </pic:spPr>
                </pic:pic>
              </a:graphicData>
            </a:graphic>
          </wp:inline>
        </w:drawing>
      </w:r>
      <w:r>
        <w:drawing>
          <wp:inline distT="0" distB="0" distL="114300" distR="114300">
            <wp:extent cx="4619625" cy="2390775"/>
            <wp:effectExtent l="0" t="0" r="9525" b="952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40"/>
                    <a:stretch>
                      <a:fillRect/>
                    </a:stretch>
                  </pic:blipFill>
                  <pic:spPr>
                    <a:xfrm>
                      <a:off x="0" y="0"/>
                      <a:ext cx="4619625" cy="2390775"/>
                    </a:xfrm>
                    <a:prstGeom prst="rect">
                      <a:avLst/>
                    </a:prstGeom>
                    <a:noFill/>
                    <a:ln>
                      <a:noFill/>
                    </a:ln>
                  </pic:spPr>
                </pic:pic>
              </a:graphicData>
            </a:graphic>
          </wp:inline>
        </w:drawing>
      </w:r>
      <w:r>
        <w:drawing>
          <wp:inline distT="0" distB="0" distL="114300" distR="114300">
            <wp:extent cx="4829175" cy="6667500"/>
            <wp:effectExtent l="0" t="0" r="9525" b="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41"/>
                    <a:stretch>
                      <a:fillRect/>
                    </a:stretch>
                  </pic:blipFill>
                  <pic:spPr>
                    <a:xfrm>
                      <a:off x="0" y="0"/>
                      <a:ext cx="4829175" cy="6667500"/>
                    </a:xfrm>
                    <a:prstGeom prst="rect">
                      <a:avLst/>
                    </a:prstGeom>
                    <a:noFill/>
                    <a:ln>
                      <a:noFill/>
                    </a:ln>
                  </pic:spPr>
                </pic:pic>
              </a:graphicData>
            </a:graphic>
          </wp:inline>
        </w:drawing>
      </w:r>
      <w:r>
        <w:drawing>
          <wp:inline distT="0" distB="0" distL="114300" distR="114300">
            <wp:extent cx="4695825" cy="6667500"/>
            <wp:effectExtent l="0" t="0" r="9525"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2"/>
                    <a:stretch>
                      <a:fillRect/>
                    </a:stretch>
                  </pic:blipFill>
                  <pic:spPr>
                    <a:xfrm>
                      <a:off x="0" y="0"/>
                      <a:ext cx="4695825" cy="6667500"/>
                    </a:xfrm>
                    <a:prstGeom prst="rect">
                      <a:avLst/>
                    </a:prstGeom>
                    <a:noFill/>
                    <a:ln>
                      <a:noFill/>
                    </a:ln>
                  </pic:spPr>
                </pic:pic>
              </a:graphicData>
            </a:graphic>
          </wp:inline>
        </w:drawing>
      </w:r>
      <w:r>
        <w:drawing>
          <wp:inline distT="0" distB="0" distL="114300" distR="114300">
            <wp:extent cx="4629150" cy="1975485"/>
            <wp:effectExtent l="0" t="0" r="0" b="571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43"/>
                    <a:stretch>
                      <a:fillRect/>
                    </a:stretch>
                  </pic:blipFill>
                  <pic:spPr>
                    <a:xfrm>
                      <a:off x="0" y="0"/>
                      <a:ext cx="4629150" cy="1975485"/>
                    </a:xfrm>
                    <a:prstGeom prst="rect">
                      <a:avLst/>
                    </a:prstGeom>
                    <a:noFill/>
                    <a:ln>
                      <a:noFill/>
                    </a:ln>
                  </pic:spPr>
                </pic:pic>
              </a:graphicData>
            </a:graphic>
          </wp:inline>
        </w:drawing>
      </w:r>
    </w:p>
    <w:sectPr>
      <w:headerReference r:id="rId11" w:type="default"/>
      <w:footerReference r:id="rId12"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59C2F"/>
    <w:multiLevelType w:val="singleLevel"/>
    <w:tmpl w:val="8C559C2F"/>
    <w:lvl w:ilvl="0" w:tentative="0">
      <w:start w:val="1"/>
      <w:numFmt w:val="chineseCounting"/>
      <w:suff w:val="nothing"/>
      <w:lvlText w:val="（%1）"/>
      <w:lvlJc w:val="left"/>
      <w:rPr>
        <w:rFonts w:hint="eastAsia"/>
      </w:rPr>
    </w:lvl>
  </w:abstractNum>
  <w:abstractNum w:abstractNumId="1">
    <w:nsid w:val="AE7B25A7"/>
    <w:multiLevelType w:val="singleLevel"/>
    <w:tmpl w:val="AE7B25A7"/>
    <w:lvl w:ilvl="0" w:tentative="0">
      <w:start w:val="3"/>
      <w:numFmt w:val="chineseCounting"/>
      <w:suff w:val="nothing"/>
      <w:lvlText w:val="（%1）"/>
      <w:lvlJc w:val="left"/>
      <w:pPr>
        <w:ind w:left="640" w:firstLine="0"/>
      </w:pPr>
      <w:rPr>
        <w:rFonts w:hint="eastAsia"/>
      </w:rPr>
    </w:lvl>
  </w:abstractNum>
  <w:abstractNum w:abstractNumId="2">
    <w:nsid w:val="1D92276E"/>
    <w:multiLevelType w:val="singleLevel"/>
    <w:tmpl w:val="1D92276E"/>
    <w:lvl w:ilvl="0" w:tentative="0">
      <w:start w:val="4"/>
      <w:numFmt w:val="chineseCounting"/>
      <w:suff w:val="nothing"/>
      <w:lvlText w:val="第%1部分、"/>
      <w:lvlJc w:val="left"/>
      <w:rPr>
        <w:rFonts w:hint="eastAsia"/>
      </w:rPr>
    </w:lvl>
  </w:abstractNum>
  <w:abstractNum w:abstractNumId="3">
    <w:nsid w:val="57A82462"/>
    <w:multiLevelType w:val="singleLevel"/>
    <w:tmpl w:val="57A82462"/>
    <w:lvl w:ilvl="0" w:tentative="0">
      <w:start w:val="1"/>
      <w:numFmt w:val="chineseCounting"/>
      <w:suff w:val="nothing"/>
      <w:lvlText w:val="%1、"/>
      <w:lvlJc w:val="left"/>
    </w:lvl>
  </w:abstractNum>
  <w:abstractNum w:abstractNumId="4">
    <w:nsid w:val="57A932AF"/>
    <w:multiLevelType w:val="singleLevel"/>
    <w:tmpl w:val="57A932AF"/>
    <w:lvl w:ilvl="0" w:tentative="0">
      <w:start w:val="1"/>
      <w:numFmt w:val="chineseCounting"/>
      <w:suff w:val="nothing"/>
      <w:lvlText w:val="%1、"/>
      <w:lvlJc w:val="left"/>
    </w:lvl>
  </w:abstractNum>
  <w:abstractNum w:abstractNumId="5">
    <w:nsid w:val="57A943D4"/>
    <w:multiLevelType w:val="singleLevel"/>
    <w:tmpl w:val="57A943D4"/>
    <w:lvl w:ilvl="0" w:tentative="0">
      <w:start w:val="1"/>
      <w:numFmt w:val="chineseCounting"/>
      <w:suff w:val="nothing"/>
      <w:lvlText w:val="%1、"/>
      <w:lvlJc w:val="left"/>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2NDlmZWU4NTI2Mzg2ZjNiMjg4NDhjNWI4ZDk5YWYifQ=="/>
  </w:docVars>
  <w:rsids>
    <w:rsidRoot w:val="00000000"/>
    <w:rsid w:val="097C4548"/>
    <w:rsid w:val="15036198"/>
    <w:rsid w:val="36DB7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正文（缩进）"/>
    <w:basedOn w:val="1"/>
    <w:qFormat/>
    <w:uiPriority w:val="0"/>
    <w:pPr>
      <w:spacing w:before="156" w:after="156"/>
    </w:pPr>
    <w:rPr>
      <w:rFonts w:ascii="Times New Roman" w:hAnsi="Times New Roman" w:eastAsia="宋体" w:cs="Times New Roma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emf"/><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8526</Words>
  <Characters>9489</Characters>
  <Lines>0</Lines>
  <Paragraphs>0</Paragraphs>
  <TotalTime>3</TotalTime>
  <ScaleCrop>false</ScaleCrop>
  <LinksUpToDate>false</LinksUpToDate>
  <CharactersWithSpaces>9588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2022-09-22T09:46:00Z</dcterms:created>
  <dc:creator>coocaa</dc:creator>
  <cp:lastModifiedBy>coocaa</cp:lastModifiedBy>
  <dcterms:modified xsi:type="dcterms:W3CDTF">2022-10-12T06:43:42Z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C652F34BEE744FEA97E8B08FD9443071</vt:lpwstr>
  </property>
</Properties>
</file>