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="黑体" w:hAnsi="黑体" w:eastAsia="黑体" w:cs="黑体"/>
          <w:b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sz w:val="44"/>
          <w:szCs w:val="44"/>
          <w:highlight w:val="none"/>
          <w:lang w:eastAsia="zh-CN"/>
        </w:rPr>
        <w:t>202</w:t>
      </w:r>
      <w:r>
        <w:rPr>
          <w:rFonts w:hint="eastAsia" w:ascii="黑体" w:hAnsi="黑体" w:eastAsia="黑体" w:cs="黑体"/>
          <w:b/>
          <w:bCs w:val="0"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黑体" w:hAnsi="黑体" w:eastAsia="黑体" w:cs="黑体"/>
          <w:b/>
          <w:bCs w:val="0"/>
          <w:color w:val="auto"/>
          <w:sz w:val="44"/>
          <w:szCs w:val="44"/>
          <w:highlight w:val="none"/>
        </w:rPr>
        <w:t>年</w:t>
      </w:r>
      <w:r>
        <w:rPr>
          <w:rFonts w:hint="eastAsia" w:ascii="黑体" w:hAnsi="黑体" w:eastAsia="黑体" w:cs="黑体"/>
          <w:b/>
          <w:bCs w:val="0"/>
          <w:color w:val="auto"/>
          <w:sz w:val="44"/>
          <w:szCs w:val="44"/>
          <w:highlight w:val="none"/>
          <w:lang w:eastAsia="zh-CN"/>
        </w:rPr>
        <w:t>江夏区</w:t>
      </w:r>
      <w:r>
        <w:rPr>
          <w:rFonts w:hint="eastAsia" w:ascii="黑体" w:hAnsi="黑体" w:eastAsia="黑体" w:cs="黑体"/>
          <w:b/>
          <w:bCs w:val="0"/>
          <w:color w:val="auto"/>
          <w:sz w:val="44"/>
          <w:szCs w:val="44"/>
          <w:highlight w:val="none"/>
        </w:rPr>
        <w:t>化肥减量化</w:t>
      </w:r>
      <w:r>
        <w:rPr>
          <w:rFonts w:hint="eastAsia" w:ascii="黑体" w:hAnsi="黑体" w:eastAsia="黑体" w:cs="黑体"/>
          <w:b/>
          <w:bCs w:val="0"/>
          <w:color w:val="auto"/>
          <w:sz w:val="44"/>
          <w:szCs w:val="44"/>
          <w:highlight w:val="none"/>
          <w:lang w:val="en-US" w:eastAsia="zh-CN"/>
        </w:rPr>
        <w:t>及商品有机肥</w:t>
      </w:r>
    </w:p>
    <w:p>
      <w:pPr>
        <w:spacing w:line="720" w:lineRule="exact"/>
        <w:jc w:val="center"/>
        <w:rPr>
          <w:rFonts w:hint="eastAsia" w:ascii="黑体" w:hAnsi="黑体" w:eastAsia="黑体" w:cs="黑体"/>
          <w:b/>
          <w:bCs w:val="0"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/>
          <w:bCs w:val="0"/>
          <w:color w:val="auto"/>
          <w:sz w:val="44"/>
          <w:szCs w:val="44"/>
          <w:highlight w:val="none"/>
          <w:lang w:val="en-US" w:eastAsia="zh-CN"/>
        </w:rPr>
        <w:t>示范推广</w:t>
      </w:r>
      <w:r>
        <w:rPr>
          <w:rFonts w:hint="eastAsia" w:ascii="黑体" w:hAnsi="黑体" w:eastAsia="黑体" w:cs="黑体"/>
          <w:b/>
          <w:bCs w:val="0"/>
          <w:color w:val="auto"/>
          <w:sz w:val="44"/>
          <w:szCs w:val="44"/>
          <w:highlight w:val="none"/>
        </w:rPr>
        <w:t>工作实施方案</w:t>
      </w:r>
    </w:p>
    <w:p>
      <w:pPr>
        <w:spacing w:line="570" w:lineRule="exact"/>
        <w:ind w:firstLine="640" w:firstLineChars="200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</w:rPr>
      </w:pPr>
    </w:p>
    <w:p>
      <w:pPr>
        <w:widowControl w:val="0"/>
        <w:spacing w:line="57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根据《武汉市农业技术推广中心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关于落实2025年化肥减量化及商品有机肥示范推广工作的通知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》和《市财政局关于批复市农业农村局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2025年市级财政支持农业农村发展专项资金预算的函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》（武财农函【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）文件精神，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为确保抓紧抓好粮食和重要农产品稳产保供，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促进农业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绿色发展，转变农业生产方式，改善农业生态环境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推进乡村振兴。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江夏区拟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开展化肥减量化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及商品有机肥示范推广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（以下简称“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化肥减量化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”）工作，现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结合江夏实际制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定本实施方案。</w:t>
      </w:r>
    </w:p>
    <w:p>
      <w:pPr>
        <w:widowControl w:val="0"/>
        <w:spacing w:line="570" w:lineRule="exact"/>
        <w:ind w:firstLine="640" w:firstLineChars="20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一、指导思想</w:t>
      </w:r>
    </w:p>
    <w:p>
      <w:pPr>
        <w:widowControl w:val="0"/>
        <w:spacing w:line="57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坚持“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减量、增效、绿色、创新、集成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”的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施肥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理念，大力开展耕地质量保护与提升，增加有机肥资源利用，有效减少化肥使用量，保障农业生产安全、农产品质量安全和生态环境安全，促进农业可持续发展。拓展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化肥减量化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内涵，提升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化肥减量化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层次，促进绿色兴农、质量兴农、品牌强农，助力农业转型升级和高质量发展。</w:t>
      </w:r>
    </w:p>
    <w:p>
      <w:pPr>
        <w:widowControl w:val="0"/>
        <w:spacing w:line="57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二、</w:t>
      </w:r>
      <w:r>
        <w:rPr>
          <w:rStyle w:val="22"/>
          <w:rFonts w:hint="eastAsia" w:ascii="黑体" w:hAnsi="黑体" w:eastAsia="黑体" w:cs="黑体"/>
          <w:b w:val="0"/>
          <w:color w:val="auto"/>
          <w:sz w:val="32"/>
          <w:szCs w:val="32"/>
          <w:highlight w:val="none"/>
        </w:rPr>
        <w:t>基本原则</w:t>
      </w:r>
    </w:p>
    <w:p>
      <w:pPr>
        <w:widowControl w:val="0"/>
        <w:spacing w:line="570" w:lineRule="exact"/>
        <w:ind w:firstLine="640" w:firstLineChars="200"/>
        <w:rPr>
          <w:rStyle w:val="23"/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（一）依法依规的原则。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依据国家、湖北省政府、武汉市政府相关法律、法规，确保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示范推广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工作有序推进。</w:t>
      </w:r>
    </w:p>
    <w:p>
      <w:pPr>
        <w:widowControl w:val="0"/>
        <w:spacing w:line="57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（二）先建后补的原则。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项目承担单位通过自查认为达标，再按照程序申请验收，验收合格方可享受财政补贴政策。</w:t>
      </w:r>
    </w:p>
    <w:p>
      <w:pPr>
        <w:widowControl w:val="0"/>
        <w:spacing w:line="57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（三）公开透明的原则。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我们拟将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工作实施方案、验收标准和补贴政策等信息面向社会公开，接受群众监督。</w:t>
      </w:r>
    </w:p>
    <w:p>
      <w:pPr>
        <w:widowControl w:val="0"/>
        <w:spacing w:line="570" w:lineRule="exact"/>
        <w:ind w:firstLine="640" w:firstLineChars="20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三、目标任务</w:t>
      </w:r>
    </w:p>
    <w:p>
      <w:pPr>
        <w:widowControl w:val="0"/>
        <w:spacing w:line="57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以绿色理念为引领，围绕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减量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增效，在核心示范区全面推行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节肥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技术，示范带动周边种植业转型升级和可持续发展。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一是围绕斧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头湖、梁子湖、鲁湖周边区域，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建立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化肥减量化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核心示范区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面积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不少于1800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亩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在示范区内因地制宜推广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化肥减量化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化肥减量化主要推广配方肥（或作物专用肥）、商品有机肥、微生物肥、ARC生物菌剂相关肥料（大豆花生用）、缓释肥、水溶肥、中微量元素肥、育秧纸（内含配方肥）以及种肥同播、水肥一体化、无人机追肥等高效施肥方式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在区域内推广一种或多种技术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）。工作完成后，核心示范区化肥使用量（折纯）比当年对照区减少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10%以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上，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实现增产、节本、省工、提升品质（糖度、可溶性固形物含量、外观、低农残或获得绿色产品认证等）、改善土壤条件等任一以上效益，化肥减量化工作成果得到巩固和加强。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二是因地制宜开展田间试验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4个，通过试验，形成可复制可推广的的科学经验。</w:t>
      </w:r>
    </w:p>
    <w:p>
      <w:pPr>
        <w:widowControl w:val="0"/>
        <w:spacing w:line="570" w:lineRule="exact"/>
        <w:ind w:firstLine="640" w:firstLineChars="20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四、申报条件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项目以</w:t>
      </w:r>
      <w:r>
        <w:rPr>
          <w:rFonts w:hint="eastAsia" w:ascii="仿宋" w:hAnsi="仿宋" w:eastAsia="仿宋" w:cs="仿宋"/>
          <w:sz w:val="32"/>
          <w:szCs w:val="32"/>
        </w:rPr>
        <w:t>新型农业经营主体为申报主体，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种植规模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200亩以上，</w:t>
      </w:r>
      <w:r>
        <w:rPr>
          <w:rFonts w:hint="eastAsia" w:ascii="仿宋" w:hAnsi="仿宋" w:eastAsia="仿宋" w:cs="仿宋"/>
          <w:sz w:val="32"/>
          <w:szCs w:val="32"/>
        </w:rPr>
        <w:t>综合考虑技术力量、种植传统、生产规模、基础条件、管理服务和产业化水平等因素。对获得“三品一标”，市级及以上级别农业方面授牌的粮果菜瓜茶种植主体，具备水肥一体化、侧深施肥、种肥同播、无人机追肥基础条件的种植主体应当优先安排。存在耕地抛荒现象、不良诚信记录或负面报道、上一年度国家省市农产品质量抽检不合格、上一年度申请过商品有机肥补贴指标未落实的申报主体，当年度一律不得安排本项目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其中，粮油生产主体占入选主体总数比例不低于25%。</w:t>
      </w:r>
      <w:r>
        <w:rPr>
          <w:rFonts w:hint="eastAsia" w:ascii="仿宋" w:hAnsi="仿宋" w:eastAsia="仿宋" w:cs="仿宋"/>
          <w:sz w:val="32"/>
          <w:szCs w:val="32"/>
        </w:rPr>
        <w:t>为不耽误农时，自2025年4月1日起已施基肥的，可以纳入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（需提供佐证材料）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申报时必须明确种植、购施肥情况等信息。涉及商品有机肥的必须提供对应的肥料登记证。</w:t>
      </w:r>
    </w:p>
    <w:p>
      <w:pPr>
        <w:widowControl w:val="0"/>
        <w:numPr>
          <w:ilvl w:val="0"/>
          <w:numId w:val="1"/>
        </w:numPr>
        <w:spacing w:line="570" w:lineRule="exact"/>
        <w:ind w:firstLine="640" w:firstLineChars="20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实施内容</w:t>
      </w:r>
    </w:p>
    <w:p>
      <w:pPr>
        <w:widowControl w:val="0"/>
        <w:numPr>
          <w:ilvl w:val="0"/>
          <w:numId w:val="0"/>
        </w:numPr>
        <w:spacing w:line="570" w:lineRule="exact"/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开展减量化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>田间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试验</w:t>
      </w:r>
    </w:p>
    <w:p>
      <w:pPr>
        <w:widowControl/>
        <w:spacing w:line="360" w:lineRule="auto"/>
        <w:jc w:val="left"/>
        <w:outlineLvl w:val="2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按照科学施肥工作需要，统筹开展肥料效应、化肥利用率、施肥新技术等田间试验4个，为优化施肥方案、构建施肥新模式提供有力的数据支撑。</w:t>
      </w:r>
    </w:p>
    <w:p>
      <w:pPr>
        <w:widowControl w:val="0"/>
        <w:numPr>
          <w:ilvl w:val="0"/>
          <w:numId w:val="0"/>
        </w:numPr>
        <w:spacing w:line="570" w:lineRule="exact"/>
        <w:ind w:leftChars="200" w:firstLine="320" w:firstLineChars="100"/>
        <w:rPr>
          <w:rFonts w:hint="eastAsia" w:ascii="楷体" w:hAnsi="楷体" w:eastAsia="楷体" w:cs="楷体"/>
          <w:strike w:val="0"/>
          <w:dstrike w:val="0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trike w:val="0"/>
          <w:dstrike w:val="0"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楷体" w:hAnsi="楷体" w:eastAsia="楷体" w:cs="楷体"/>
          <w:strike w:val="0"/>
          <w:dstrike w:val="0"/>
          <w:color w:val="auto"/>
          <w:sz w:val="32"/>
          <w:szCs w:val="32"/>
          <w:highlight w:val="none"/>
        </w:rPr>
        <w:t>实施减量化技术应用及示范</w:t>
      </w:r>
    </w:p>
    <w:p>
      <w:pPr>
        <w:widowControl w:val="0"/>
        <w:numPr>
          <w:ilvl w:val="0"/>
          <w:numId w:val="0"/>
        </w:numPr>
        <w:spacing w:line="570" w:lineRule="exact"/>
        <w:ind w:firstLine="640" w:firstLineChars="200"/>
        <w:rPr>
          <w:rFonts w:hint="eastAsia" w:ascii="仿宋" w:hAnsi="仿宋" w:eastAsia="仿宋" w:cs="仿宋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highlight w:val="none"/>
          <w:lang w:eastAsia="zh-CN"/>
        </w:rPr>
        <w:t>主要推广配方肥（或作物专用肥）、商品有机肥、微生物肥、ARC生物菌剂相关肥料（大豆花生用）、缓释肥、水溶肥、中微量元素肥、育秧纸（内含配方肥）以及侧深施肥、种肥同播、水肥一体化、无人机追肥等高效施肥方式。</w:t>
      </w:r>
    </w:p>
    <w:p>
      <w:pPr>
        <w:widowControl w:val="0"/>
        <w:spacing w:line="570" w:lineRule="exact"/>
        <w:ind w:firstLine="640" w:firstLineChars="200"/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trike w:val="0"/>
          <w:dstrike w:val="0"/>
          <w:color w:val="auto"/>
          <w:sz w:val="32"/>
          <w:szCs w:val="32"/>
          <w:highlight w:val="none"/>
        </w:rPr>
        <w:t>（三）做好</w:t>
      </w:r>
      <w:r>
        <w:rPr>
          <w:rFonts w:hint="eastAsia" w:ascii="楷体" w:hAnsi="楷体" w:eastAsia="楷体" w:cs="楷体"/>
          <w:strike w:val="0"/>
          <w:dstrike w:val="0"/>
          <w:color w:val="auto"/>
          <w:sz w:val="32"/>
          <w:szCs w:val="32"/>
          <w:highlight w:val="none"/>
          <w:lang w:eastAsia="zh-CN"/>
        </w:rPr>
        <w:t>化肥减量化</w:t>
      </w:r>
      <w:r>
        <w:rPr>
          <w:rFonts w:hint="eastAsia" w:ascii="楷体" w:hAnsi="楷体" w:eastAsia="楷体" w:cs="楷体"/>
          <w:strike w:val="0"/>
          <w:dstrike w:val="0"/>
          <w:color w:val="auto"/>
          <w:sz w:val="32"/>
          <w:szCs w:val="32"/>
          <w:highlight w:val="none"/>
        </w:rPr>
        <w:t>技术辐射带动作用</w:t>
      </w:r>
    </w:p>
    <w:p>
      <w:pPr>
        <w:widowControl w:val="0"/>
        <w:spacing w:line="570" w:lineRule="exact"/>
        <w:ind w:firstLine="640" w:firstLineChars="200"/>
        <w:rPr>
          <w:rFonts w:hint="eastAsia" w:ascii="仿宋" w:hAnsi="仿宋" w:eastAsia="仿宋" w:cs="仿宋"/>
          <w:bCs/>
          <w:strike w:val="0"/>
          <w:dstrike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highlight w:val="none"/>
        </w:rPr>
        <w:t>通过现场展示、技术培训、宣传指导、总结推广等形式及时将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highlight w:val="none"/>
          <w:lang w:eastAsia="zh-CN"/>
        </w:rPr>
        <w:t>化肥减量化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highlight w:val="none"/>
        </w:rPr>
        <w:t>技术成果辐射到周边，充分发挥以点带面和二传手作用。</w:t>
      </w:r>
    </w:p>
    <w:p>
      <w:pPr>
        <w:widowControl w:val="0"/>
        <w:spacing w:line="570" w:lineRule="exact"/>
        <w:ind w:firstLine="640" w:firstLineChars="20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六、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实施步骤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 xml:space="preserve"> </w:t>
      </w:r>
    </w:p>
    <w:p>
      <w:pPr>
        <w:widowControl w:val="0"/>
        <w:spacing w:line="57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（一）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制发方案。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江夏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区农业技术推广中心制定项目实施方案，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江夏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区人民政府网上公示。</w:t>
      </w:r>
    </w:p>
    <w:p>
      <w:pPr>
        <w:widowControl w:val="0"/>
        <w:spacing w:line="57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确定主体。公示期满后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个工作日内，区内符合条件且有项目建设意愿的单位，按照文件要求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填报《江夏区2025年化肥减量化及商品有机肥示范主体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申报表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及佐证材料（附件2）向所在街道提出申请。街道审核同意后将申报表交区农业技术推广中心土肥植保科，再由农业技术推广中心组织专家进行评审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确定实施主体。</w:t>
      </w:r>
    </w:p>
    <w:p>
      <w:pPr>
        <w:widowControl w:val="0"/>
        <w:spacing w:line="570" w:lineRule="exact"/>
        <w:ind w:firstLine="640" w:firstLineChars="200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（三）项目实施。开展核心示范区建设，树立展牌。核心示范区推广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highlight w:val="none"/>
          <w:lang w:eastAsia="zh-CN"/>
        </w:rPr>
        <w:t>配方肥（或作物专用肥）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生物菌肥、有机肥、水溶肥等高效施肥方式技术措施（2025年4月1日起已经施用基肥的，可进行奖补，但需要提供佐证材料）。在实施过程中，每一项都要有记录，有图片或视频，票据（银行转账凭证）要保存完整，以便顺利通过验收。项目实施单位制定实施方案，项目完成后，核心示范区化肥使用量（折纯）比当年对照区减少10%以上，减量化技术措施要数量化。</w:t>
      </w:r>
    </w:p>
    <w:p>
      <w:pPr>
        <w:widowControl w:val="0"/>
        <w:spacing w:line="57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）完成期限。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年11月15日前完成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化肥减量化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及商品有机肥示范推广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工作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11月30日前完成项目资金拨付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widowControl w:val="0"/>
        <w:spacing w:line="57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）检查验收及公示。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示范区建设完成后，由项目实施主体提出验收申请，提供验收佐证材料（附件3），后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由区农业技术推广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中心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组织验收，出具验收报告，并以适当的形式予以公示，接受群众监督。</w:t>
      </w:r>
    </w:p>
    <w:p>
      <w:pPr>
        <w:widowControl w:val="0"/>
        <w:spacing w:line="57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）材料报备存档。公示期满无异议后，将项目验收材料一式二份报市农业技术推广中心备案存档，补贴资金据实拨付。</w:t>
      </w:r>
    </w:p>
    <w:p>
      <w:pPr>
        <w:widowControl w:val="0"/>
        <w:spacing w:line="57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七、资金安排</w:t>
      </w:r>
    </w:p>
    <w:p>
      <w:pPr>
        <w:widowControl w:val="0"/>
        <w:spacing w:line="57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90万元，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主要用于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个方面：一是物化投入补助。对运用减量增效技术模式需要的上述规定肥料等进行补助；由新型农业经营主体负责实施，占项目资金总额的比例不低于70%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优先安排用肥量基数较大、减量空间较大的经济作物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二是化肥减量化田间试验补助，占项目资金总额的比例不高于20%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是涉及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化肥减量化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的示范推广、标牌制定、宣传报道、技术集成、培训指导、参观学习、开现场会、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项目审计、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评审验收等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，占项目资金总额的比例不高于10%。</w:t>
      </w:r>
    </w:p>
    <w:p>
      <w:pPr>
        <w:pStyle w:val="14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资金预算表</w:t>
      </w:r>
    </w:p>
    <w:tbl>
      <w:tblPr>
        <w:tblStyle w:val="15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2839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1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支出项目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规模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物化投入补助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  <w:t>肥料补贴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≧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1800亩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田间试验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试验补助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4个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技术服务费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宣传培训、标牌制定、技术指导费、开现场会、评审验收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</w:p>
          <w:p>
            <w:pPr>
              <w:pStyle w:val="14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8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合计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90</w:t>
            </w:r>
          </w:p>
        </w:tc>
      </w:tr>
    </w:tbl>
    <w:p>
      <w:pPr>
        <w:pStyle w:val="14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spacing w:line="570" w:lineRule="exact"/>
        <w:ind w:firstLine="668" w:firstLineChars="20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八、</w:t>
      </w:r>
      <w:r>
        <w:rPr>
          <w:rFonts w:hint="eastAsia" w:ascii="黑体" w:hAnsi="黑体" w:eastAsia="黑体" w:cs="黑体"/>
          <w:sz w:val="32"/>
          <w:szCs w:val="32"/>
        </w:rPr>
        <w:t>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（一）加强组织领导和技术指导。强化领导抓管，加强统筹协调，确保各项任务落实到实处。成立工作领导小组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和技术指导组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工作领导小组下设办公室，由</w:t>
      </w:r>
      <w:r>
        <w:rPr>
          <w:rFonts w:hint="eastAsia" w:ascii="仿宋" w:hAnsi="仿宋" w:eastAsia="仿宋" w:cs="仿宋"/>
          <w:sz w:val="32"/>
          <w:szCs w:val="32"/>
        </w:rPr>
        <w:t>土肥植保科具体负责化肥减量技术示范工作的组织协调、方案制定、指导服务、总结上报、信息反馈和对外宣传等。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（二）加强宣传引导。 充分利用广播、电视、互联网等媒体，广泛开展多种形式、丰富多彩的宣教活动，引导群众科学认识化肥农药减量化，理解化肥农药减量增效的重要性，建立正向引导机制，提高广大干部群众参与行动自觉性和主动性，尤其是提高农民的意识，鼓励群众广辟肥源、增施有机肥（配方肥），为化肥减量行动顺利推进、保障农业绿色生产发展创造良好的舆论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三）强化日常管理。要建立资金使用台账制度，加强资金监管，规范资金使用，建立健全工作档案，将实施工作的相关文件和影像资料归档立卷，以备查阅，按标牌样式,树立示范标牌，明确主推技术、承担单位、技术指导单位及相关责任人等信息。便于宣传展示和监管检查。同时，加强工作调度，及时做好信息填报。</w:t>
      </w:r>
    </w:p>
    <w:p>
      <w:pPr>
        <w:pStyle w:val="7"/>
        <w:ind w:firstLine="0" w:firstLine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附件1：江夏区2025年化肥减量化及商品有机肥示范主体申报表</w:t>
      </w:r>
    </w:p>
    <w:p>
      <w:pPr>
        <w:pStyle w:val="7"/>
        <w:ind w:firstLine="960" w:firstLineChars="3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附件2：实施主体佐证材料</w:t>
      </w:r>
      <w:bookmarkStart w:id="0" w:name="_GoBack"/>
      <w:bookmarkEnd w:id="0"/>
    </w:p>
    <w:p>
      <w:pPr>
        <w:pStyle w:val="7"/>
        <w:ind w:left="0" w:leftChars="0" w:firstLine="960" w:firstLineChars="3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附件3：验收佐证材料</w:t>
      </w:r>
    </w:p>
    <w:p>
      <w:pPr>
        <w:pStyle w:val="7"/>
        <w:ind w:left="0" w:leftChars="0" w:firstLine="960" w:firstLineChars="3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附件4：工作专班名单</w:t>
      </w:r>
    </w:p>
    <w:p>
      <w:pPr>
        <w:pStyle w:val="7"/>
        <w:ind w:left="0" w:leftChars="0" w:firstLine="960" w:firstLineChars="300"/>
        <w:jc w:val="both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附件5：技术专班名单</w:t>
      </w:r>
    </w:p>
    <w:p>
      <w:pPr>
        <w:pStyle w:val="7"/>
        <w:ind w:left="0" w:leftChars="0" w:firstLine="4480" w:firstLineChars="14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江夏区农业技术推广中心</w:t>
      </w:r>
    </w:p>
    <w:p>
      <w:pPr>
        <w:pStyle w:val="7"/>
        <w:ind w:firstLine="5120" w:firstLineChars="16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850" w:gutter="0"/>
          <w:pgNumType w:fmt="decimal" w:start="1"/>
          <w:cols w:space="720" w:num="1"/>
          <w:docGrid w:type="linesAndChars" w:linePitch="312" w:charSpace="0"/>
        </w:sect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2025年6月10日</w:t>
      </w:r>
    </w:p>
    <w:p>
      <w:pPr>
        <w:jc w:val="both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江夏区2025年化肥减量化及商品有机肥示范主体申报表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16"/>
        <w:tblpPr w:leftFromText="180" w:rightFromText="180" w:vertAnchor="page" w:horzAnchor="page" w:tblpX="1757" w:tblpY="3383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2002"/>
        <w:gridCol w:w="1198"/>
        <w:gridCol w:w="3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307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示范主体名称</w:t>
            </w:r>
          </w:p>
        </w:tc>
        <w:tc>
          <w:tcPr>
            <w:tcW w:w="3692" w:type="pct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07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175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3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181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07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3692" w:type="pct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307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拟建设示范区面积（亩）</w:t>
            </w:r>
          </w:p>
        </w:tc>
        <w:tc>
          <w:tcPr>
            <w:tcW w:w="3692" w:type="pct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  <w:jc w:val="center"/>
        </w:trPr>
        <w:tc>
          <w:tcPr>
            <w:tcW w:w="5000" w:type="pct"/>
            <w:gridSpan w:val="4"/>
          </w:tcPr>
          <w:p>
            <w:pPr>
              <w:spacing w:line="480" w:lineRule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经营主体种植情况：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2482" w:type="pct"/>
            <w:gridSpan w:val="2"/>
          </w:tcPr>
          <w:p>
            <w:pPr>
              <w:spacing w:line="480" w:lineRule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街道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意见：</w:t>
            </w:r>
          </w:p>
        </w:tc>
        <w:tc>
          <w:tcPr>
            <w:tcW w:w="2517" w:type="pct"/>
            <w:gridSpan w:val="2"/>
          </w:tcPr>
          <w:p>
            <w:pPr>
              <w:spacing w:line="480" w:lineRule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中心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5000" w:type="pct"/>
            <w:gridSpan w:val="4"/>
          </w:tcPr>
          <w:p>
            <w:pPr>
              <w:spacing w:line="480" w:lineRule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备注：</w:t>
            </w:r>
          </w:p>
        </w:tc>
      </w:tr>
    </w:tbl>
    <w:p>
      <w:pPr>
        <w:pStyle w:val="7"/>
        <w:ind w:left="0" w:leftChars="0" w:firstLine="0" w:firstLineChars="0"/>
        <w:jc w:val="both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附件2</w:t>
      </w:r>
    </w:p>
    <w:p>
      <w:pPr>
        <w:pStyle w:val="7"/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实施主体佐证材料</w:t>
      </w:r>
    </w:p>
    <w:p>
      <w:pPr>
        <w:pStyle w:val="7"/>
        <w:jc w:val="center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7"/>
        <w:ind w:left="0" w:leftChars="0"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一、申报单位基本情况 (企业简介，包括种植面积、经营规模与状况、技术支撑、获得荣誉、项目实施经验等)</w:t>
      </w:r>
    </w:p>
    <w:p>
      <w:pPr>
        <w:pStyle w:val="7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二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、减量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10%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化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肥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技术措施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实施方案（方案包括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主要建设内容、地点与规模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期限与进度安排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资金使用概算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</w:t>
      </w:r>
    </w:p>
    <w:p>
      <w:pPr>
        <w:pStyle w:val="7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、附件 ( 营业执照、开户许可证、土地流转证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或承包合同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、基地平面图或基地整体效果图、公司相关资质等)</w:t>
      </w:r>
    </w:p>
    <w:p>
      <w:pPr>
        <w:pStyle w:val="7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7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7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7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7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7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7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7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7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7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7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7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7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7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7"/>
        <w:ind w:left="0" w:leftChars="0" w:firstLine="0" w:firstLine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附件3</w:t>
      </w:r>
    </w:p>
    <w:p>
      <w:pPr>
        <w:pStyle w:val="7"/>
        <w:ind w:left="0" w:leftChars="0" w:firstLine="0" w:firstLineChars="0"/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实施主体验收佐证材料</w:t>
      </w:r>
    </w:p>
    <w:p>
      <w:pPr>
        <w:numPr>
          <w:ilvl w:val="0"/>
          <w:numId w:val="0"/>
        </w:numPr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1.有农事记载本。包括施肥时间、农情调查、病虫害防治</w:t>
      </w:r>
    </w:p>
    <w:p>
      <w:pPr>
        <w:numPr>
          <w:ilvl w:val="0"/>
          <w:numId w:val="0"/>
        </w:numPr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2.购买肥料合同、发票、施用照片和银行打款流水，平时农事照片、出货单、肥料下车视频或者照片、施肥照片</w:t>
      </w:r>
    </w:p>
    <w:p>
      <w:pPr>
        <w:numPr>
          <w:ilvl w:val="0"/>
          <w:numId w:val="0"/>
        </w:numPr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3.测产记录（包含习惯施肥区和减10%示范区）</w:t>
      </w:r>
    </w:p>
    <w:p>
      <w:pPr>
        <w:numPr>
          <w:ilvl w:val="0"/>
          <w:numId w:val="0"/>
        </w:numPr>
        <w:shd w:val="clear" w:color="auto" w:fill="FFFFFF"/>
        <w:spacing w:line="560" w:lineRule="exact"/>
        <w:ind w:firstLine="640" w:firstLineChars="200"/>
        <w:jc w:val="left"/>
        <w:rPr>
          <w:rFonts w:hint="default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4.工作总结和技术总结</w:t>
      </w:r>
    </w:p>
    <w:p>
      <w:pPr>
        <w:pStyle w:val="7"/>
        <w:rPr>
          <w:rFonts w:hint="default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7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3"/>
        <w:spacing w:before="0" w:beforeAutospacing="0" w:after="0" w:afterAutospacing="0" w:line="600" w:lineRule="exact"/>
        <w:rPr>
          <w:rFonts w:eastAsia="黑体"/>
          <w:bCs/>
          <w:sz w:val="32"/>
          <w:szCs w:val="30"/>
        </w:rPr>
      </w:pPr>
    </w:p>
    <w:p>
      <w:pPr>
        <w:pStyle w:val="3"/>
        <w:spacing w:before="0" w:beforeAutospacing="0" w:after="0" w:afterAutospacing="0" w:line="600" w:lineRule="exact"/>
        <w:rPr>
          <w:rFonts w:eastAsia="黑体"/>
          <w:bCs/>
          <w:sz w:val="32"/>
          <w:szCs w:val="30"/>
        </w:rPr>
      </w:pPr>
    </w:p>
    <w:p>
      <w:pPr>
        <w:pStyle w:val="3"/>
        <w:spacing w:before="0" w:beforeAutospacing="0" w:after="0" w:afterAutospacing="0" w:line="600" w:lineRule="exact"/>
        <w:rPr>
          <w:rFonts w:eastAsia="黑体"/>
          <w:bCs/>
          <w:sz w:val="32"/>
          <w:szCs w:val="30"/>
        </w:rPr>
      </w:pPr>
    </w:p>
    <w:p>
      <w:pPr>
        <w:pStyle w:val="3"/>
        <w:spacing w:before="0" w:beforeAutospacing="0" w:after="0" w:afterAutospacing="0" w:line="600" w:lineRule="exact"/>
        <w:rPr>
          <w:rFonts w:eastAsia="黑体"/>
          <w:bCs/>
          <w:sz w:val="32"/>
          <w:szCs w:val="30"/>
        </w:rPr>
      </w:pPr>
    </w:p>
    <w:p>
      <w:pPr>
        <w:pStyle w:val="3"/>
        <w:spacing w:before="0" w:beforeAutospacing="0" w:after="0" w:afterAutospacing="0" w:line="600" w:lineRule="exact"/>
        <w:rPr>
          <w:rFonts w:eastAsia="黑体"/>
          <w:bCs/>
          <w:sz w:val="32"/>
          <w:szCs w:val="30"/>
        </w:rPr>
      </w:pPr>
    </w:p>
    <w:p>
      <w:pPr>
        <w:pStyle w:val="3"/>
        <w:spacing w:before="0" w:beforeAutospacing="0" w:after="0" w:afterAutospacing="0" w:line="600" w:lineRule="exact"/>
        <w:rPr>
          <w:rFonts w:eastAsia="黑体"/>
          <w:bCs/>
          <w:sz w:val="32"/>
          <w:szCs w:val="30"/>
        </w:rPr>
      </w:pPr>
    </w:p>
    <w:p>
      <w:pPr>
        <w:pStyle w:val="3"/>
        <w:spacing w:before="0" w:beforeAutospacing="0" w:after="0" w:afterAutospacing="0" w:line="600" w:lineRule="exact"/>
        <w:rPr>
          <w:rFonts w:eastAsia="黑体"/>
          <w:bCs/>
          <w:sz w:val="32"/>
          <w:szCs w:val="30"/>
        </w:rPr>
      </w:pPr>
    </w:p>
    <w:p>
      <w:pPr>
        <w:pStyle w:val="3"/>
        <w:spacing w:before="0" w:beforeAutospacing="0" w:after="0" w:afterAutospacing="0" w:line="600" w:lineRule="exact"/>
        <w:rPr>
          <w:rFonts w:eastAsia="黑体"/>
          <w:bCs/>
          <w:sz w:val="32"/>
          <w:szCs w:val="30"/>
        </w:rPr>
      </w:pPr>
    </w:p>
    <w:p>
      <w:pPr>
        <w:pStyle w:val="3"/>
        <w:spacing w:before="0" w:beforeAutospacing="0" w:after="0" w:afterAutospacing="0" w:line="600" w:lineRule="exact"/>
        <w:rPr>
          <w:rFonts w:eastAsia="黑体"/>
          <w:bCs/>
          <w:sz w:val="32"/>
          <w:szCs w:val="30"/>
        </w:rPr>
      </w:pPr>
    </w:p>
    <w:p>
      <w:pPr>
        <w:pStyle w:val="3"/>
        <w:spacing w:before="0" w:beforeAutospacing="0" w:after="0" w:afterAutospacing="0" w:line="600" w:lineRule="exact"/>
        <w:rPr>
          <w:rFonts w:eastAsia="黑体"/>
          <w:bCs/>
          <w:sz w:val="32"/>
          <w:szCs w:val="30"/>
        </w:rPr>
      </w:pPr>
    </w:p>
    <w:p>
      <w:pPr>
        <w:pStyle w:val="3"/>
        <w:spacing w:before="0" w:beforeAutospacing="0" w:after="0" w:afterAutospacing="0" w:line="600" w:lineRule="exact"/>
        <w:rPr>
          <w:rFonts w:eastAsia="黑体"/>
          <w:bCs/>
          <w:sz w:val="32"/>
          <w:szCs w:val="30"/>
        </w:rPr>
      </w:pPr>
    </w:p>
    <w:p>
      <w:pPr>
        <w:pStyle w:val="3"/>
        <w:spacing w:before="0" w:beforeAutospacing="0" w:after="0" w:afterAutospacing="0" w:line="600" w:lineRule="exact"/>
        <w:rPr>
          <w:rFonts w:eastAsia="黑体"/>
          <w:bCs/>
          <w:sz w:val="32"/>
          <w:szCs w:val="30"/>
        </w:rPr>
      </w:pPr>
    </w:p>
    <w:p>
      <w:pPr>
        <w:pStyle w:val="3"/>
        <w:spacing w:before="0" w:beforeAutospacing="0" w:after="0" w:afterAutospacing="0" w:line="600" w:lineRule="exact"/>
        <w:rPr>
          <w:rFonts w:eastAsia="黑体"/>
          <w:bCs/>
          <w:sz w:val="32"/>
          <w:szCs w:val="30"/>
        </w:rPr>
      </w:pPr>
    </w:p>
    <w:p>
      <w:pPr>
        <w:pStyle w:val="3"/>
        <w:spacing w:before="0" w:beforeAutospacing="0" w:after="0" w:afterAutospacing="0" w:line="600" w:lineRule="exact"/>
        <w:rPr>
          <w:rFonts w:eastAsia="黑体"/>
          <w:bCs/>
          <w:sz w:val="32"/>
          <w:szCs w:val="30"/>
        </w:rPr>
      </w:pPr>
    </w:p>
    <w:p>
      <w:pPr>
        <w:pStyle w:val="3"/>
        <w:spacing w:before="0" w:beforeAutospacing="0" w:after="0" w:afterAutospacing="0" w:line="600" w:lineRule="exact"/>
        <w:rPr>
          <w:rFonts w:hint="eastAsia" w:eastAsia="黑体"/>
          <w:bCs/>
          <w:sz w:val="32"/>
          <w:szCs w:val="30"/>
        </w:rPr>
      </w:pPr>
      <w:r>
        <w:rPr>
          <w:rFonts w:eastAsia="黑体"/>
          <w:bCs/>
          <w:sz w:val="32"/>
          <w:szCs w:val="30"/>
        </w:rPr>
        <w:t>附</w:t>
      </w:r>
      <w:r>
        <w:rPr>
          <w:rFonts w:hint="eastAsia" w:eastAsia="黑体"/>
          <w:bCs/>
          <w:sz w:val="32"/>
          <w:szCs w:val="30"/>
        </w:rPr>
        <w:t>4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黑体" w:hAnsi="黑体" w:eastAsia="黑体" w:cs="黑体"/>
          <w:b/>
          <w:bCs w:val="0"/>
          <w:color w:val="auto"/>
          <w:sz w:val="44"/>
          <w:szCs w:val="44"/>
          <w:highlight w:val="none"/>
          <w:lang w:eastAsia="zh-CN"/>
        </w:rPr>
        <w:t>202</w:t>
      </w:r>
      <w:r>
        <w:rPr>
          <w:rFonts w:hint="eastAsia" w:ascii="黑体" w:hAnsi="黑体" w:eastAsia="黑体" w:cs="黑体"/>
          <w:b/>
          <w:bCs w:val="0"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黑体" w:hAnsi="黑体" w:eastAsia="黑体" w:cs="黑体"/>
          <w:b/>
          <w:bCs w:val="0"/>
          <w:color w:val="auto"/>
          <w:sz w:val="44"/>
          <w:szCs w:val="44"/>
          <w:highlight w:val="none"/>
        </w:rPr>
        <w:t>年</w:t>
      </w:r>
      <w:r>
        <w:rPr>
          <w:rFonts w:hint="eastAsia" w:ascii="黑体" w:hAnsi="黑体" w:eastAsia="黑体" w:cs="黑体"/>
          <w:b/>
          <w:bCs w:val="0"/>
          <w:color w:val="auto"/>
          <w:sz w:val="44"/>
          <w:szCs w:val="44"/>
          <w:highlight w:val="none"/>
          <w:lang w:eastAsia="zh-CN"/>
        </w:rPr>
        <w:t>江夏区</w:t>
      </w:r>
      <w:r>
        <w:rPr>
          <w:rFonts w:hint="eastAsia" w:ascii="黑体" w:hAnsi="黑体" w:eastAsia="黑体" w:cs="黑体"/>
          <w:b/>
          <w:bCs w:val="0"/>
          <w:color w:val="auto"/>
          <w:sz w:val="44"/>
          <w:szCs w:val="44"/>
          <w:highlight w:val="none"/>
        </w:rPr>
        <w:t>化肥减量化</w:t>
      </w:r>
      <w:r>
        <w:rPr>
          <w:rFonts w:hint="eastAsia" w:ascii="黑体" w:hAnsi="黑体" w:eastAsia="黑体" w:cs="黑体"/>
          <w:b/>
          <w:bCs w:val="0"/>
          <w:color w:val="auto"/>
          <w:sz w:val="44"/>
          <w:szCs w:val="44"/>
          <w:highlight w:val="none"/>
          <w:lang w:val="en-US" w:eastAsia="zh-CN"/>
        </w:rPr>
        <w:t>及商品有机肥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工作专班名单</w:t>
      </w:r>
    </w:p>
    <w:p>
      <w:pPr>
        <w:spacing w:line="560" w:lineRule="exact"/>
        <w:rPr>
          <w:rFonts w:hint="eastAsia" w:ascii="仿宋_GB2312" w:hAnsi="等线" w:eastAsia="仿宋_GB2312" w:cs="仿宋_GB2312"/>
          <w:sz w:val="32"/>
          <w:szCs w:val="32"/>
          <w:lang w:bidi="ar"/>
        </w:rPr>
      </w:pPr>
    </w:p>
    <w:p>
      <w:pPr>
        <w:spacing w:line="560" w:lineRule="exact"/>
        <w:rPr>
          <w:rFonts w:hint="eastAsia" w:ascii="仿宋_GB2312" w:hAnsi="等线" w:eastAsia="仿宋_GB2312" w:cs="仿宋_GB2312"/>
          <w:sz w:val="32"/>
          <w:szCs w:val="32"/>
          <w:lang w:bidi="ar"/>
        </w:rPr>
      </w:pPr>
      <w:r>
        <w:rPr>
          <w:rFonts w:hint="eastAsia" w:ascii="仿宋_GB2312" w:hAnsi="等线" w:eastAsia="仿宋_GB2312" w:cs="仿宋_GB2312"/>
          <w:sz w:val="32"/>
          <w:szCs w:val="32"/>
          <w:lang w:bidi="ar"/>
        </w:rPr>
        <w:t xml:space="preserve">组 </w:t>
      </w:r>
      <w:r>
        <w:rPr>
          <w:rFonts w:hint="eastAsia" w:ascii="仿宋_GB2312" w:hAnsi="等线" w:eastAsia="仿宋_GB2312" w:cs="仿宋_GB231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等线" w:eastAsia="仿宋_GB2312" w:cs="仿宋_GB2312"/>
          <w:sz w:val="32"/>
          <w:szCs w:val="32"/>
          <w:lang w:bidi="ar"/>
        </w:rPr>
        <w:t xml:space="preserve"> 长：李 </w:t>
      </w:r>
      <w:r>
        <w:rPr>
          <w:rFonts w:hint="eastAsia" w:ascii="仿宋_GB2312" w:hAnsi="等线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等线" w:eastAsia="仿宋_GB2312" w:cs="仿宋_GB2312"/>
          <w:sz w:val="32"/>
          <w:szCs w:val="32"/>
          <w:lang w:bidi="ar"/>
        </w:rPr>
        <w:t>祥  区农业技术推广中心主任</w:t>
      </w:r>
    </w:p>
    <w:p>
      <w:pPr>
        <w:pStyle w:val="2"/>
        <w:spacing w:line="560" w:lineRule="exact"/>
        <w:ind w:firstLine="0"/>
        <w:rPr>
          <w:rFonts w:hint="eastAsia" w:hAnsi="等线" w:cs="仿宋_GB2312"/>
          <w:szCs w:val="32"/>
          <w:lang w:bidi="ar"/>
        </w:rPr>
      </w:pPr>
      <w:r>
        <w:rPr>
          <w:rFonts w:hint="eastAsia" w:hAnsi="等线" w:cs="仿宋_GB2312"/>
          <w:szCs w:val="32"/>
          <w:lang w:bidi="ar"/>
        </w:rPr>
        <w:t>副</w:t>
      </w:r>
      <w:r>
        <w:rPr>
          <w:rFonts w:hint="eastAsia" w:hAnsi="等线" w:cs="仿宋_GB2312"/>
          <w:szCs w:val="32"/>
          <w:lang w:val="en-US" w:eastAsia="zh-CN" w:bidi="ar"/>
        </w:rPr>
        <w:t xml:space="preserve">  </w:t>
      </w:r>
      <w:r>
        <w:rPr>
          <w:rFonts w:hint="eastAsia" w:hAnsi="等线" w:cs="仿宋_GB2312"/>
          <w:szCs w:val="32"/>
          <w:lang w:bidi="ar"/>
        </w:rPr>
        <w:t>组</w:t>
      </w:r>
      <w:r>
        <w:rPr>
          <w:rFonts w:hint="eastAsia" w:hAnsi="等线" w:cs="仿宋_GB2312"/>
          <w:szCs w:val="32"/>
          <w:lang w:val="en-US" w:eastAsia="zh-CN" w:bidi="ar"/>
        </w:rPr>
        <w:t xml:space="preserve">  </w:t>
      </w:r>
      <w:r>
        <w:rPr>
          <w:rFonts w:hint="eastAsia" w:hAnsi="等线" w:cs="仿宋_GB2312"/>
          <w:szCs w:val="32"/>
          <w:lang w:bidi="ar"/>
        </w:rPr>
        <w:t>长：</w:t>
      </w:r>
      <w:r>
        <w:rPr>
          <w:rFonts w:hint="eastAsia" w:hAnsi="等线" w:cs="仿宋_GB2312"/>
          <w:szCs w:val="32"/>
          <w:lang w:val="en-US" w:eastAsia="zh-CN" w:bidi="ar"/>
        </w:rPr>
        <w:t>韩  伟</w:t>
      </w:r>
      <w:r>
        <w:rPr>
          <w:rFonts w:hint="eastAsia" w:hAnsi="等线" w:cs="仿宋_GB2312"/>
          <w:szCs w:val="32"/>
          <w:lang w:bidi="ar"/>
        </w:rPr>
        <w:t xml:space="preserve"> </w:t>
      </w:r>
      <w:r>
        <w:rPr>
          <w:rFonts w:hint="eastAsia" w:hAnsi="等线" w:cs="仿宋_GB2312"/>
          <w:szCs w:val="32"/>
          <w:lang w:val="en-US" w:eastAsia="zh-CN" w:bidi="ar"/>
        </w:rPr>
        <w:t xml:space="preserve"> </w:t>
      </w:r>
      <w:r>
        <w:rPr>
          <w:rFonts w:hint="eastAsia" w:hAnsi="等线" w:cs="仿宋_GB2312"/>
          <w:szCs w:val="32"/>
          <w:lang w:bidi="ar"/>
        </w:rPr>
        <w:t>区农业技术推广中心党委委员</w:t>
      </w:r>
    </w:p>
    <w:p>
      <w:pPr>
        <w:pStyle w:val="3"/>
        <w:tabs>
          <w:tab w:val="left" w:pos="2070"/>
        </w:tabs>
        <w:spacing w:beforeAutospacing="0" w:afterAutospacing="0"/>
        <w:ind w:firstLine="0" w:firstLineChars="0"/>
        <w:jc w:val="both"/>
        <w:rPr>
          <w:rFonts w:hint="eastAsia" w:ascii="仿宋_GB2312" w:hAnsi="等线" w:eastAsia="仿宋_GB2312" w:cs="仿宋_GB2312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仿宋_GB2312"/>
          <w:bCs/>
          <w:kern w:val="2"/>
          <w:sz w:val="32"/>
          <w:szCs w:val="32"/>
          <w:lang w:val="en-US" w:eastAsia="zh-CN" w:bidi="ar"/>
        </w:rPr>
        <w:t>成      员: 何意成 区农业技术推广中心党委委员</w:t>
      </w:r>
    </w:p>
    <w:p>
      <w:pPr>
        <w:pStyle w:val="3"/>
        <w:tabs>
          <w:tab w:val="left" w:pos="2070"/>
        </w:tabs>
        <w:spacing w:beforeAutospacing="0" w:afterAutospacing="0"/>
        <w:ind w:firstLine="1920" w:firstLineChars="600"/>
        <w:rPr>
          <w:rFonts w:hint="eastAsia" w:ascii="仿宋_GB2312" w:hAnsi="等线" w:eastAsia="仿宋_GB2312" w:cs="仿宋_GB2312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仿宋_GB2312"/>
          <w:bCs/>
          <w:kern w:val="2"/>
          <w:sz w:val="32"/>
          <w:szCs w:val="32"/>
          <w:lang w:val="en-US" w:eastAsia="zh-CN" w:bidi="ar"/>
        </w:rPr>
        <w:t>程胜利  区农业技术推广中心党委委员</w:t>
      </w:r>
    </w:p>
    <w:p>
      <w:pPr>
        <w:pStyle w:val="2"/>
        <w:spacing w:line="560" w:lineRule="exact"/>
        <w:ind w:firstLine="1920" w:firstLineChars="600"/>
        <w:rPr>
          <w:rFonts w:hint="eastAsia" w:hAnsi="等线" w:cs="仿宋_GB2312"/>
          <w:szCs w:val="32"/>
          <w:lang w:bidi="ar"/>
        </w:rPr>
      </w:pPr>
      <w:r>
        <w:rPr>
          <w:rFonts w:hint="eastAsia" w:hAnsi="等线" w:cs="仿宋_GB2312"/>
          <w:szCs w:val="32"/>
          <w:lang w:val="en-US" w:eastAsia="zh-CN" w:bidi="ar"/>
        </w:rPr>
        <w:t>陈细桂</w:t>
      </w:r>
      <w:r>
        <w:rPr>
          <w:rFonts w:hint="eastAsia" w:hAnsi="等线" w:cs="仿宋_GB2312"/>
          <w:szCs w:val="32"/>
          <w:lang w:bidi="ar"/>
        </w:rPr>
        <w:t xml:space="preserve"> 区农业技术推广中心高级农艺师</w:t>
      </w:r>
    </w:p>
    <w:p>
      <w:pPr>
        <w:pStyle w:val="3"/>
        <w:spacing w:beforeAutospacing="0" w:afterAutospacing="0"/>
        <w:ind w:firstLine="1920" w:firstLineChars="600"/>
        <w:rPr>
          <w:rFonts w:hint="default" w:ascii="仿宋_GB2312" w:hAnsi="等线" w:eastAsia="仿宋_GB2312" w:cs="仿宋_GB2312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仿宋_GB2312"/>
          <w:bCs/>
          <w:kern w:val="2"/>
          <w:sz w:val="32"/>
          <w:szCs w:val="32"/>
          <w:lang w:val="en-US" w:eastAsia="zh-CN" w:bidi="ar"/>
        </w:rPr>
        <w:t>李 顿  区农业技术推广中心干部</w:t>
      </w:r>
    </w:p>
    <w:p>
      <w:pPr>
        <w:pStyle w:val="2"/>
        <w:spacing w:line="560" w:lineRule="exact"/>
        <w:ind w:firstLine="1920" w:firstLineChars="600"/>
        <w:rPr>
          <w:rFonts w:hint="eastAsia" w:hAnsi="等线" w:cs="仿宋_GB2312"/>
          <w:szCs w:val="32"/>
          <w:lang w:bidi="ar"/>
        </w:rPr>
      </w:pPr>
      <w:r>
        <w:rPr>
          <w:rFonts w:hint="eastAsia" w:hAnsi="等线" w:cs="仿宋_GB2312"/>
          <w:szCs w:val="32"/>
          <w:lang w:bidi="ar"/>
        </w:rPr>
        <w:t>王资武 区农业技术推广中心干部</w:t>
      </w:r>
    </w:p>
    <w:p>
      <w:pPr>
        <w:pStyle w:val="2"/>
        <w:spacing w:line="560" w:lineRule="exact"/>
        <w:ind w:firstLine="1920" w:firstLineChars="600"/>
        <w:rPr>
          <w:rFonts w:hint="eastAsia" w:hAnsi="等线" w:cs="仿宋_GB2312"/>
          <w:szCs w:val="32"/>
          <w:lang w:bidi="ar"/>
        </w:rPr>
      </w:pPr>
      <w:r>
        <w:rPr>
          <w:rFonts w:hint="eastAsia" w:hAnsi="等线" w:cs="仿宋_GB2312"/>
          <w:szCs w:val="32"/>
          <w:lang w:bidi="ar"/>
        </w:rPr>
        <w:t>刘哲良 区农业技术推广中心技术员</w:t>
      </w:r>
    </w:p>
    <w:p>
      <w:pPr>
        <w:pStyle w:val="3"/>
      </w:pPr>
      <w:r>
        <w:rPr>
          <w:rFonts w:hint="eastAsia" w:hAnsi="等线" w:cs="仿宋_GB2312"/>
          <w:kern w:val="2"/>
          <w:sz w:val="32"/>
          <w:szCs w:val="32"/>
          <w:lang w:val="en-US" w:eastAsia="zh-CN" w:bidi="ar"/>
        </w:rPr>
        <w:t>工作专班下设办公室，办公室具体事宜有陈细桂负责</w:t>
      </w:r>
      <w:r>
        <w:rPr>
          <w:rFonts w:hint="eastAsia" w:hAnsi="等线" w:cs="仿宋_GB2312"/>
          <w:kern w:val="2"/>
          <w:sz w:val="32"/>
          <w:szCs w:val="32"/>
          <w:lang w:bidi="ar"/>
        </w:rPr>
        <w:t xml:space="preserve">    </w:t>
      </w:r>
    </w:p>
    <w:p>
      <w:pPr>
        <w:pStyle w:val="3"/>
      </w:pPr>
      <w:r>
        <w:rPr>
          <w:rFonts w:hint="eastAsia" w:hAnsi="等线" w:cs="仿宋_GB2312"/>
          <w:kern w:val="2"/>
          <w:sz w:val="32"/>
          <w:szCs w:val="32"/>
          <w:lang w:bidi="ar"/>
        </w:rPr>
        <w:t xml:space="preserve">        </w:t>
      </w:r>
    </w:p>
    <w:p>
      <w:pPr>
        <w:pStyle w:val="3"/>
        <w:rPr>
          <w:rFonts w:hint="eastAsia"/>
        </w:rPr>
      </w:pPr>
    </w:p>
    <w:p>
      <w:pPr>
        <w:spacing w:line="560" w:lineRule="exact"/>
        <w:rPr>
          <w:rFonts w:hint="eastAsia" w:ascii="仿宋_GB2312" w:hAnsi="等线" w:eastAsia="仿宋_GB2312" w:cs="仿宋_GB2312"/>
          <w:color w:val="FF0000"/>
          <w:sz w:val="32"/>
          <w:szCs w:val="32"/>
          <w:lang w:bidi="ar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</w:p>
    <w:p>
      <w:pPr>
        <w:pStyle w:val="3"/>
        <w:spacing w:before="0" w:beforeAutospacing="0" w:after="0" w:afterAutospacing="0" w:line="600" w:lineRule="exact"/>
        <w:rPr>
          <w:rFonts w:eastAsia="黑体"/>
          <w:bCs/>
          <w:sz w:val="32"/>
          <w:szCs w:val="30"/>
        </w:rPr>
      </w:pPr>
    </w:p>
    <w:p>
      <w:pPr>
        <w:pStyle w:val="3"/>
        <w:spacing w:before="0" w:beforeAutospacing="0" w:after="0" w:afterAutospacing="0" w:line="600" w:lineRule="exact"/>
        <w:rPr>
          <w:rFonts w:eastAsia="黑体"/>
          <w:bCs/>
          <w:sz w:val="32"/>
          <w:szCs w:val="30"/>
        </w:rPr>
      </w:pPr>
    </w:p>
    <w:p>
      <w:pPr>
        <w:pStyle w:val="3"/>
        <w:spacing w:before="0" w:beforeAutospacing="0" w:after="0" w:afterAutospacing="0" w:line="600" w:lineRule="exact"/>
        <w:rPr>
          <w:rFonts w:eastAsia="黑体"/>
          <w:bCs/>
          <w:sz w:val="32"/>
          <w:szCs w:val="30"/>
        </w:rPr>
      </w:pPr>
    </w:p>
    <w:p>
      <w:pPr>
        <w:pStyle w:val="3"/>
        <w:spacing w:before="0" w:beforeAutospacing="0" w:after="0" w:afterAutospacing="0" w:line="600" w:lineRule="exact"/>
        <w:rPr>
          <w:rFonts w:eastAsia="黑体"/>
          <w:bCs/>
          <w:sz w:val="32"/>
          <w:szCs w:val="30"/>
        </w:rPr>
      </w:pPr>
    </w:p>
    <w:p>
      <w:pPr>
        <w:pStyle w:val="3"/>
        <w:spacing w:before="0" w:beforeAutospacing="0" w:after="0" w:afterAutospacing="0" w:line="600" w:lineRule="exact"/>
        <w:rPr>
          <w:rFonts w:eastAsia="黑体"/>
          <w:bCs/>
          <w:sz w:val="32"/>
          <w:szCs w:val="30"/>
        </w:rPr>
      </w:pPr>
    </w:p>
    <w:p>
      <w:pPr>
        <w:pStyle w:val="3"/>
        <w:spacing w:before="0" w:beforeAutospacing="0" w:after="0" w:afterAutospacing="0" w:line="600" w:lineRule="exact"/>
        <w:rPr>
          <w:rFonts w:eastAsia="黑体"/>
          <w:bCs/>
          <w:sz w:val="32"/>
          <w:szCs w:val="30"/>
        </w:rPr>
      </w:pPr>
    </w:p>
    <w:p>
      <w:pPr>
        <w:pStyle w:val="3"/>
        <w:spacing w:before="0" w:beforeAutospacing="0" w:after="0" w:afterAutospacing="0" w:line="600" w:lineRule="exact"/>
        <w:rPr>
          <w:rFonts w:ascii="方正小标宋简体" w:hAnsi="方正小标宋简体" w:eastAsia="方正小标宋简体" w:cs="方正小标宋简体"/>
          <w:kern w:val="2"/>
          <w:sz w:val="44"/>
          <w:szCs w:val="44"/>
          <w:lang w:bidi="ar"/>
        </w:rPr>
      </w:pPr>
      <w:r>
        <w:rPr>
          <w:rFonts w:eastAsia="黑体"/>
          <w:bCs/>
          <w:sz w:val="32"/>
          <w:szCs w:val="30"/>
        </w:rPr>
        <w:t>附</w:t>
      </w:r>
      <w:r>
        <w:rPr>
          <w:rFonts w:hint="eastAsia" w:eastAsia="黑体"/>
          <w:bCs/>
          <w:sz w:val="32"/>
          <w:szCs w:val="30"/>
        </w:rPr>
        <w:t>5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黑体" w:hAnsi="黑体" w:eastAsia="黑体" w:cs="黑体"/>
          <w:b/>
          <w:bCs w:val="0"/>
          <w:color w:val="auto"/>
          <w:sz w:val="44"/>
          <w:szCs w:val="44"/>
          <w:highlight w:val="none"/>
          <w:lang w:eastAsia="zh-CN"/>
        </w:rPr>
        <w:t>202</w:t>
      </w:r>
      <w:r>
        <w:rPr>
          <w:rFonts w:hint="eastAsia" w:ascii="黑体" w:hAnsi="黑体" w:eastAsia="黑体" w:cs="黑体"/>
          <w:b/>
          <w:bCs w:val="0"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黑体" w:hAnsi="黑体" w:eastAsia="黑体" w:cs="黑体"/>
          <w:b/>
          <w:bCs w:val="0"/>
          <w:color w:val="auto"/>
          <w:sz w:val="44"/>
          <w:szCs w:val="44"/>
          <w:highlight w:val="none"/>
        </w:rPr>
        <w:t>年</w:t>
      </w:r>
      <w:r>
        <w:rPr>
          <w:rFonts w:hint="eastAsia" w:ascii="黑体" w:hAnsi="黑体" w:eastAsia="黑体" w:cs="黑体"/>
          <w:b/>
          <w:bCs w:val="0"/>
          <w:color w:val="auto"/>
          <w:sz w:val="44"/>
          <w:szCs w:val="44"/>
          <w:highlight w:val="none"/>
          <w:lang w:eastAsia="zh-CN"/>
        </w:rPr>
        <w:t>江夏区</w:t>
      </w:r>
      <w:r>
        <w:rPr>
          <w:rFonts w:hint="eastAsia" w:ascii="黑体" w:hAnsi="黑体" w:eastAsia="黑体" w:cs="黑体"/>
          <w:b/>
          <w:bCs w:val="0"/>
          <w:color w:val="auto"/>
          <w:sz w:val="44"/>
          <w:szCs w:val="44"/>
          <w:highlight w:val="none"/>
        </w:rPr>
        <w:t>化肥减量化</w:t>
      </w:r>
      <w:r>
        <w:rPr>
          <w:rFonts w:hint="eastAsia" w:ascii="黑体" w:hAnsi="黑体" w:eastAsia="黑体" w:cs="黑体"/>
          <w:b/>
          <w:bCs w:val="0"/>
          <w:color w:val="auto"/>
          <w:sz w:val="44"/>
          <w:szCs w:val="44"/>
          <w:highlight w:val="none"/>
          <w:lang w:val="en-US" w:eastAsia="zh-CN"/>
        </w:rPr>
        <w:t>及商品有机肥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技术指导组名单</w:t>
      </w:r>
    </w:p>
    <w:p>
      <w:pPr>
        <w:pStyle w:val="2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textAlignment w:val="auto"/>
        <w:rPr>
          <w:rFonts w:hint="eastAsia" w:ascii="仿宋_GB2312" w:hAnsi="Times New Roman" w:eastAsia="仿宋_GB2312" w:cs="Times New Roman"/>
          <w:bCs/>
          <w:spacing w:val="-6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/>
          <w:spacing w:val="-6"/>
          <w:kern w:val="2"/>
          <w:sz w:val="32"/>
          <w:szCs w:val="22"/>
          <w:lang w:val="en-US" w:eastAsia="zh-CN" w:bidi="ar-SA"/>
        </w:rPr>
        <w:t>组  长：苏  斌   武汉市农业技术推广中心高级农艺师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2560" w:hanging="2560" w:hangingChars="800"/>
        <w:textAlignment w:val="auto"/>
        <w:rPr>
          <w:rFonts w:hint="default" w:hAnsi="等线" w:eastAsia="仿宋_GB2312" w:cs="仿宋_GB2312"/>
          <w:szCs w:val="32"/>
          <w:lang w:val="en-US" w:eastAsia="zh-CN" w:bidi="ar"/>
        </w:rPr>
      </w:pPr>
      <w:r>
        <w:rPr>
          <w:rFonts w:hint="eastAsia" w:hAnsi="等线" w:cs="仿宋_GB2312"/>
          <w:szCs w:val="32"/>
          <w:lang w:val="en-US" w:eastAsia="zh-CN" w:bidi="ar"/>
        </w:rPr>
        <w:t xml:space="preserve">副组长：韩  伟   </w:t>
      </w:r>
      <w:r>
        <w:rPr>
          <w:rFonts w:hint="eastAsia" w:hAnsi="等线" w:cs="仿宋_GB2312"/>
          <w:szCs w:val="32"/>
          <w:lang w:bidi="ar"/>
        </w:rPr>
        <w:t>区农业技术推广中心高级农艺师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textAlignment w:val="auto"/>
        <w:rPr>
          <w:rFonts w:hint="eastAsia" w:ascii="仿宋_GB2312" w:eastAsia="仿宋_GB2312"/>
          <w:spacing w:val="-2"/>
          <w:kern w:val="2"/>
          <w:sz w:val="32"/>
          <w:lang w:val="en-US" w:eastAsia="zh-CN"/>
        </w:rPr>
      </w:pPr>
      <w:r>
        <w:rPr>
          <w:rFonts w:hint="eastAsia" w:ascii="仿宋_GB2312" w:hAnsi="等线" w:eastAsia="仿宋_GB2312" w:cs="仿宋_GB2312"/>
          <w:bCs/>
          <w:kern w:val="2"/>
          <w:sz w:val="32"/>
          <w:szCs w:val="32"/>
          <w:lang w:val="en-US" w:eastAsia="zh-CN" w:bidi="ar"/>
        </w:rPr>
        <w:t>成  员：</w:t>
      </w:r>
      <w:r>
        <w:rPr>
          <w:rFonts w:hint="eastAsia" w:ascii="仿宋_GB2312" w:eastAsia="仿宋_GB2312"/>
          <w:spacing w:val="-2"/>
          <w:kern w:val="2"/>
          <w:sz w:val="32"/>
          <w:lang w:val="en-US" w:eastAsia="zh-CN"/>
        </w:rPr>
        <w:t xml:space="preserve">韩  天   </w:t>
      </w:r>
      <w:r>
        <w:rPr>
          <w:rFonts w:hint="eastAsia" w:ascii="仿宋_GB2312" w:eastAsia="仿宋_GB2312"/>
          <w:spacing w:val="-2"/>
          <w:kern w:val="2"/>
          <w:sz w:val="32"/>
        </w:rPr>
        <w:t>武汉市农业技术推广中心</w:t>
      </w:r>
      <w:r>
        <w:rPr>
          <w:rFonts w:hint="eastAsia" w:ascii="仿宋_GB2312" w:eastAsia="仿宋_GB2312"/>
          <w:spacing w:val="-2"/>
          <w:kern w:val="2"/>
          <w:sz w:val="32"/>
          <w:lang w:val="en-US" w:eastAsia="zh-CN"/>
        </w:rPr>
        <w:t>中级</w:t>
      </w:r>
      <w:r>
        <w:rPr>
          <w:rFonts w:hint="eastAsia" w:ascii="仿宋_GB2312" w:eastAsia="仿宋_GB2312"/>
          <w:spacing w:val="-2"/>
          <w:kern w:val="2"/>
          <w:sz w:val="32"/>
        </w:rPr>
        <w:t>农艺师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280" w:firstLineChars="400"/>
        <w:textAlignment w:val="auto"/>
        <w:rPr>
          <w:rFonts w:hint="eastAsia" w:hAnsi="等线" w:cs="仿宋_GB2312"/>
          <w:szCs w:val="32"/>
          <w:lang w:bidi="ar"/>
        </w:rPr>
      </w:pPr>
      <w:r>
        <w:rPr>
          <w:rFonts w:hint="eastAsia" w:hAnsi="等线" w:cs="仿宋_GB2312"/>
          <w:szCs w:val="32"/>
          <w:lang w:val="en-US" w:eastAsia="zh-CN" w:bidi="ar"/>
        </w:rPr>
        <w:t>陈细桂</w:t>
      </w:r>
      <w:r>
        <w:rPr>
          <w:rFonts w:hint="eastAsia" w:hAnsi="等线" w:cs="仿宋_GB2312"/>
          <w:szCs w:val="32"/>
          <w:lang w:bidi="ar"/>
        </w:rPr>
        <w:t xml:space="preserve">   区农业技术推广中心高级农艺师</w:t>
      </w:r>
    </w:p>
    <w:p>
      <w:pPr>
        <w:pStyle w:val="2"/>
        <w:spacing w:line="240" w:lineRule="auto"/>
        <w:ind w:firstLine="0" w:firstLineChars="0"/>
        <w:rPr>
          <w:rFonts w:hint="eastAsia" w:hAnsi="等线" w:cs="仿宋_GB2312"/>
          <w:szCs w:val="32"/>
          <w:lang w:bidi="ar"/>
        </w:rPr>
      </w:pPr>
      <w:r>
        <w:rPr>
          <w:rFonts w:hint="eastAsia" w:hAnsi="等线" w:cs="仿宋_GB2312"/>
          <w:szCs w:val="32"/>
          <w:lang w:eastAsia="zh-CN" w:bidi="ar"/>
        </w:rPr>
        <w:tab/>
      </w:r>
      <w:r>
        <w:rPr>
          <w:rFonts w:hint="eastAsia" w:hAnsi="等线" w:cs="仿宋_GB2312"/>
          <w:szCs w:val="32"/>
          <w:lang w:val="en-US" w:eastAsia="zh-CN" w:bidi="ar"/>
        </w:rPr>
        <w:t xml:space="preserve">      刘哲良   </w:t>
      </w:r>
      <w:r>
        <w:rPr>
          <w:rFonts w:hint="eastAsia" w:hAnsi="等线" w:cs="仿宋_GB2312"/>
          <w:szCs w:val="32"/>
          <w:lang w:bidi="ar"/>
        </w:rPr>
        <w:t>区农业技术推广中心技术员</w:t>
      </w:r>
    </w:p>
    <w:p>
      <w:pPr>
        <w:pStyle w:val="3"/>
        <w:tabs>
          <w:tab w:val="left" w:pos="1341"/>
        </w:tabs>
        <w:rPr>
          <w:rFonts w:hint="default" w:eastAsia="宋体"/>
          <w:lang w:val="en-US" w:eastAsia="zh-CN"/>
        </w:rPr>
      </w:pPr>
    </w:p>
    <w:p>
      <w:pPr>
        <w:pStyle w:val="3"/>
        <w:spacing w:before="0" w:beforeAutospacing="0" w:after="0" w:afterAutospacing="0" w:line="680" w:lineRule="exact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157" w:right="1800" w:bottom="1213" w:left="1800" w:header="851" w:footer="850" w:gutter="0"/>
      <w:pgNumType w:fmt="decimal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6D0718"/>
    <w:multiLevelType w:val="multilevel"/>
    <w:tmpl w:val="426D0718"/>
    <w:lvl w:ilvl="0" w:tentative="0">
      <w:start w:val="5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5"/>
      <w:lvl w:ilvl="0" w:tentative="1">
        <w:start w:val="5"/>
        <w:numFmt w:val="chineseCounting"/>
        <w:suff w:val="nothing"/>
        <w:lvlText w:val="%1、"/>
        <w:lvlJc w:val="left"/>
        <w:pPr>
          <w:tabs>
            <w:tab w:val="left" w:pos="0"/>
          </w:tabs>
          <w:ind w:left="0" w:firstLine="0"/>
        </w:pPr>
        <w:rPr>
          <w:rFonts w:hint="eastAsia" w:ascii="黑体" w:hAnsi="黑体" w:eastAsia="黑体"/>
        </w:rPr>
      </w:lvl>
    </w:lvlOverride>
    <w:lvlOverride w:ilvl="1">
      <w:startOverride w:val="1"/>
      <w:lvl w:ilvl="1" w:tentative="1">
        <w:start w:val="1"/>
        <w:numFmt w:val="decimal"/>
        <w:lvlText w:val="%2."/>
        <w:lvlJc w:val="left"/>
        <w:pPr>
          <w:tabs>
            <w:tab w:val="left" w:pos="1440"/>
          </w:tabs>
          <w:ind w:left="1440" w:hanging="360"/>
        </w:pPr>
      </w:lvl>
    </w:lvlOverride>
    <w:lvlOverride w:ilvl="2">
      <w:startOverride w:val="1"/>
      <w:lvl w:ilvl="2" w:tentative="1">
        <w:start w:val="1"/>
        <w:numFmt w:val="decimal"/>
        <w:lvlText w:val="%3."/>
        <w:lvlJc w:val="left"/>
        <w:pPr>
          <w:tabs>
            <w:tab w:val="left" w:pos="2160"/>
          </w:tabs>
          <w:ind w:left="2160" w:hanging="360"/>
        </w:p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tabs>
            <w:tab w:val="left" w:pos="2880"/>
          </w:tabs>
          <w:ind w:left="2880" w:hanging="360"/>
        </w:pPr>
      </w:lvl>
    </w:lvlOverride>
    <w:lvlOverride w:ilvl="4">
      <w:startOverride w:val="1"/>
      <w:lvl w:ilvl="4" w:tentative="1">
        <w:start w:val="1"/>
        <w:numFmt w:val="decimal"/>
        <w:lvlText w:val="%5."/>
        <w:lvlJc w:val="left"/>
        <w:pPr>
          <w:tabs>
            <w:tab w:val="left" w:pos="3600"/>
          </w:tabs>
          <w:ind w:left="3600" w:hanging="360"/>
        </w:pPr>
      </w:lvl>
    </w:lvlOverride>
    <w:lvlOverride w:ilvl="5">
      <w:startOverride w:val="1"/>
      <w:lvl w:ilvl="5" w:tentative="1">
        <w:start w:val="1"/>
        <w:numFmt w:val="decimal"/>
        <w:lvlText w:val="%6."/>
        <w:lvlJc w:val="left"/>
        <w:pPr>
          <w:tabs>
            <w:tab w:val="left" w:pos="4320"/>
          </w:tabs>
          <w:ind w:left="4320" w:hanging="360"/>
        </w:p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tabs>
            <w:tab w:val="left" w:pos="5040"/>
          </w:tabs>
          <w:ind w:left="5040" w:hanging="360"/>
        </w:pPr>
      </w:lvl>
    </w:lvlOverride>
    <w:lvlOverride w:ilvl="7">
      <w:startOverride w:val="1"/>
      <w:lvl w:ilvl="7" w:tentative="1">
        <w:start w:val="1"/>
        <w:numFmt w:val="decimal"/>
        <w:lvlText w:val="%8."/>
        <w:lvlJc w:val="left"/>
        <w:pPr>
          <w:tabs>
            <w:tab w:val="left" w:pos="5760"/>
          </w:tabs>
          <w:ind w:left="5760" w:hanging="360"/>
        </w:pPr>
      </w:lvl>
    </w:lvlOverride>
    <w:lvlOverride w:ilvl="8">
      <w:startOverride w:val="1"/>
      <w:lvl w:ilvl="8" w:tentative="1">
        <w:start w:val="1"/>
        <w:numFmt w:val="decimal"/>
        <w:lvlText w:val="%9."/>
        <w:lvlJc w:val="left"/>
        <w:pPr>
          <w:tabs>
            <w:tab w:val="left" w:pos="6480"/>
          </w:tabs>
          <w:ind w:left="648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jZTMxNGEzMjVmODk4NjUwNDVlMDQ1NGJlNGMyMGEifQ=="/>
    <w:docVar w:name="KSO_WPS_MARK_KEY" w:val="6c29d107-9c0d-4659-b053-153840545ba5"/>
  </w:docVars>
  <w:rsids>
    <w:rsidRoot w:val="007139AA"/>
    <w:rsid w:val="006A2E47"/>
    <w:rsid w:val="007139AA"/>
    <w:rsid w:val="00C84DEC"/>
    <w:rsid w:val="01CA04C9"/>
    <w:rsid w:val="025F2E03"/>
    <w:rsid w:val="028C74D7"/>
    <w:rsid w:val="02AB256F"/>
    <w:rsid w:val="03E6532B"/>
    <w:rsid w:val="042C4A18"/>
    <w:rsid w:val="0473445A"/>
    <w:rsid w:val="058C4826"/>
    <w:rsid w:val="06074F15"/>
    <w:rsid w:val="08274ACE"/>
    <w:rsid w:val="094F6259"/>
    <w:rsid w:val="0A8C108B"/>
    <w:rsid w:val="0BD533B5"/>
    <w:rsid w:val="0C9F1A5F"/>
    <w:rsid w:val="0D9873B6"/>
    <w:rsid w:val="0E13239A"/>
    <w:rsid w:val="0F803CA1"/>
    <w:rsid w:val="104D4ABB"/>
    <w:rsid w:val="105A40DF"/>
    <w:rsid w:val="10A8498A"/>
    <w:rsid w:val="12876A56"/>
    <w:rsid w:val="12A60C7E"/>
    <w:rsid w:val="13E6056E"/>
    <w:rsid w:val="13E868A3"/>
    <w:rsid w:val="14152675"/>
    <w:rsid w:val="148A242F"/>
    <w:rsid w:val="14F021DB"/>
    <w:rsid w:val="166A348C"/>
    <w:rsid w:val="17394691"/>
    <w:rsid w:val="1A2C5950"/>
    <w:rsid w:val="1AB64785"/>
    <w:rsid w:val="1B6A3A66"/>
    <w:rsid w:val="1CDA1D32"/>
    <w:rsid w:val="211C0E60"/>
    <w:rsid w:val="2154026A"/>
    <w:rsid w:val="21FC7C22"/>
    <w:rsid w:val="23963B5A"/>
    <w:rsid w:val="24031CA8"/>
    <w:rsid w:val="26B338D1"/>
    <w:rsid w:val="26BA3B44"/>
    <w:rsid w:val="27212C6F"/>
    <w:rsid w:val="279A032C"/>
    <w:rsid w:val="2AB45CDC"/>
    <w:rsid w:val="2B0175AF"/>
    <w:rsid w:val="2DE66CD3"/>
    <w:rsid w:val="2EA971AA"/>
    <w:rsid w:val="2F40068F"/>
    <w:rsid w:val="312D6A40"/>
    <w:rsid w:val="31D9201E"/>
    <w:rsid w:val="31FE772C"/>
    <w:rsid w:val="32075FF9"/>
    <w:rsid w:val="323A4CCE"/>
    <w:rsid w:val="358D4A67"/>
    <w:rsid w:val="35DC296D"/>
    <w:rsid w:val="399710CB"/>
    <w:rsid w:val="3A920D71"/>
    <w:rsid w:val="3D003ADA"/>
    <w:rsid w:val="3D1035F8"/>
    <w:rsid w:val="3D56611C"/>
    <w:rsid w:val="3E8D5026"/>
    <w:rsid w:val="3F1F7AF9"/>
    <w:rsid w:val="3F55760A"/>
    <w:rsid w:val="41302440"/>
    <w:rsid w:val="41E903B8"/>
    <w:rsid w:val="41F10D2D"/>
    <w:rsid w:val="41F86BA7"/>
    <w:rsid w:val="426D00FA"/>
    <w:rsid w:val="42A13717"/>
    <w:rsid w:val="44616CC3"/>
    <w:rsid w:val="468C3A4D"/>
    <w:rsid w:val="46BC7948"/>
    <w:rsid w:val="475F022D"/>
    <w:rsid w:val="47782E26"/>
    <w:rsid w:val="47BA39B2"/>
    <w:rsid w:val="4A910A87"/>
    <w:rsid w:val="4B554CA4"/>
    <w:rsid w:val="4EB22BE4"/>
    <w:rsid w:val="4EEE481E"/>
    <w:rsid w:val="4FC42AFD"/>
    <w:rsid w:val="50BD2108"/>
    <w:rsid w:val="51684DC8"/>
    <w:rsid w:val="52542A17"/>
    <w:rsid w:val="543F185E"/>
    <w:rsid w:val="55924932"/>
    <w:rsid w:val="562028E0"/>
    <w:rsid w:val="57B55791"/>
    <w:rsid w:val="57E02589"/>
    <w:rsid w:val="58CD0FF5"/>
    <w:rsid w:val="5B7763A0"/>
    <w:rsid w:val="5BFE57F7"/>
    <w:rsid w:val="5DF7357F"/>
    <w:rsid w:val="5E2D0110"/>
    <w:rsid w:val="5EED7C0A"/>
    <w:rsid w:val="601879B6"/>
    <w:rsid w:val="60D32A49"/>
    <w:rsid w:val="613377BC"/>
    <w:rsid w:val="65810179"/>
    <w:rsid w:val="680B6E4D"/>
    <w:rsid w:val="692A3529"/>
    <w:rsid w:val="6D8E10A2"/>
    <w:rsid w:val="6DE4264D"/>
    <w:rsid w:val="6F51652A"/>
    <w:rsid w:val="6F90311B"/>
    <w:rsid w:val="70617081"/>
    <w:rsid w:val="74FE30BC"/>
    <w:rsid w:val="76022D09"/>
    <w:rsid w:val="78CC1A89"/>
    <w:rsid w:val="796E7B96"/>
    <w:rsid w:val="79811807"/>
    <w:rsid w:val="7C42310F"/>
    <w:rsid w:val="7DE6299B"/>
    <w:rsid w:val="7E2A4823"/>
    <w:rsid w:val="BFBE30A5"/>
    <w:rsid w:val="D5A8B83C"/>
    <w:rsid w:val="DFAD8990"/>
    <w:rsid w:val="EFFB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Times New Roman" w:eastAsia="宋体" w:cs="Arial"/>
      <w:bCs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eastAsia="黑体"/>
      <w:b/>
      <w:sz w:val="32"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line="640" w:lineRule="exact"/>
      <w:outlineLvl w:val="2"/>
    </w:pPr>
    <w:rPr>
      <w:szCs w:val="32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ind w:firstLine="630"/>
    </w:pPr>
    <w:rPr>
      <w:rFonts w:ascii="仿宋_GB2312" w:hAnsi="Times New Roman" w:eastAsia="仿宋_GB2312" w:cs="Times New Roman"/>
      <w:sz w:val="32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Normal Indent"/>
    <w:basedOn w:val="1"/>
    <w:qFormat/>
    <w:uiPriority w:val="0"/>
    <w:pPr>
      <w:spacing w:line="288" w:lineRule="auto"/>
      <w:ind w:firstLine="420" w:firstLineChars="200"/>
    </w:pPr>
    <w:rPr>
      <w:rFonts w:ascii="方正书宋简体" w:hAnsi="Calibri" w:eastAsia="方正书宋简体"/>
    </w:rPr>
  </w:style>
  <w:style w:type="paragraph" w:styleId="8">
    <w:name w:val="Body Text"/>
    <w:basedOn w:val="1"/>
    <w:next w:val="9"/>
    <w:qFormat/>
    <w:uiPriority w:val="0"/>
    <w:rPr>
      <w:rFonts w:ascii="仿宋" w:hAnsi="仿宋" w:eastAsia="仿宋" w:cs="仿宋"/>
      <w:sz w:val="36"/>
      <w:szCs w:val="36"/>
      <w:lang w:eastAsia="en-US"/>
    </w:rPr>
  </w:style>
  <w:style w:type="paragraph" w:customStyle="1" w:styleId="9">
    <w:name w:val="_Style 2"/>
    <w:basedOn w:val="1"/>
    <w:next w:val="1"/>
    <w:qFormat/>
    <w:uiPriority w:val="99"/>
    <w:pPr>
      <w:ind w:firstLine="420" w:firstLineChars="200"/>
    </w:p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toc 6"/>
    <w:basedOn w:val="1"/>
    <w:next w:val="1"/>
    <w:qFormat/>
    <w:uiPriority w:val="0"/>
    <w:pPr>
      <w:ind w:left="2100" w:leftChars="1000"/>
    </w:pPr>
  </w:style>
  <w:style w:type="paragraph" w:styleId="1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Body Text First Indent"/>
    <w:basedOn w:val="8"/>
    <w:next w:val="12"/>
    <w:qFormat/>
    <w:uiPriority w:val="0"/>
    <w:pPr>
      <w:ind w:firstLine="420" w:firstLineChars="1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qFormat/>
    <w:uiPriority w:val="0"/>
    <w:rPr>
      <w:color w:val="0000FF"/>
      <w:u w:val="single"/>
    </w:rPr>
  </w:style>
  <w:style w:type="paragraph" w:customStyle="1" w:styleId="19">
    <w:name w:val="样式1"/>
    <w:basedOn w:val="1"/>
    <w:qFormat/>
    <w:uiPriority w:val="0"/>
    <w:rPr>
      <w:b/>
      <w:color w:val="548235"/>
      <w:sz w:val="28"/>
    </w:rPr>
  </w:style>
  <w:style w:type="paragraph" w:customStyle="1" w:styleId="20">
    <w:name w:val="NormalIndent"/>
    <w:basedOn w:val="1"/>
    <w:next w:val="1"/>
    <w:qFormat/>
    <w:uiPriority w:val="0"/>
    <w:pPr>
      <w:ind w:firstLine="200" w:firstLineChars="200"/>
      <w:textAlignment w:val="baseline"/>
    </w:pPr>
  </w:style>
  <w:style w:type="character" w:customStyle="1" w:styleId="21">
    <w:name w:val="页脚 字符"/>
    <w:link w:val="10"/>
    <w:qFormat/>
    <w:uiPriority w:val="99"/>
    <w:rPr>
      <w:rFonts w:ascii="Calibri" w:cs="Arial"/>
      <w:bCs/>
      <w:kern w:val="2"/>
      <w:sz w:val="18"/>
      <w:szCs w:val="22"/>
    </w:rPr>
  </w:style>
  <w:style w:type="character" w:customStyle="1" w:styleId="22">
    <w:name w:val="16"/>
    <w:basedOn w:val="17"/>
    <w:qFormat/>
    <w:uiPriority w:val="0"/>
    <w:rPr>
      <w:rFonts w:ascii="Times New Roman" w:hAnsi="Times New Roman" w:cs="Times New Roman"/>
      <w:b/>
      <w:lang w:bidi="ar-SA"/>
    </w:rPr>
  </w:style>
  <w:style w:type="character" w:customStyle="1" w:styleId="23">
    <w:name w:val="15"/>
    <w:basedOn w:val="17"/>
    <w:qFormat/>
    <w:uiPriority w:val="0"/>
    <w:rPr>
      <w:rFonts w:ascii="Times New Roman" w:hAnsi="Times New Roman"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12</Pages>
  <Words>3537</Words>
  <Characters>3617</Characters>
  <Lines>27</Lines>
  <Paragraphs>7</Paragraphs>
  <TotalTime>11</TotalTime>
  <ScaleCrop>false</ScaleCrop>
  <LinksUpToDate>false</LinksUpToDate>
  <CharactersWithSpaces>3714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2024-03-29T09:25:00Z</dcterms:created>
  <dc:creator>User274</dc:creator>
  <cp:lastModifiedBy>陈细桂</cp:lastModifiedBy>
  <cp:lastPrinted>2025-05-08T07:48:00Z</cp:lastPrinted>
  <dcterms:modified xsi:type="dcterms:W3CDTF">2025-06-10T00:38:06Z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F30AA4C3E9883B64B6DD8C65AABC9EFA</vt:lpwstr>
  </property>
  <property fmtid="{D5CDD505-2E9C-101B-9397-08002B2CF9AE}" pid="4" name="KSOTemplateDocerSaveRecord">
    <vt:lpwstr>eyJoZGlkIjoiYjRmYjllOGY2MzMwOThhYTRhMmJmMGRiYzU2MDdhYjMiLCJ1c2VySWQiOiIyMzk4MTUxODkifQ==</vt:lpwstr>
  </property>
</Properties>
</file>