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〕9</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号</w:t>
      </w:r>
    </w:p>
    <w:bookmarkEnd w:id="0"/>
    <w:p w14:paraId="063BD282">
      <w:pPr>
        <w:widowControl/>
        <w:suppressAutoHyphens/>
        <w:autoSpaceDE w:val="0"/>
        <w:autoSpaceDN w:val="0"/>
        <w:spacing w:line="500" w:lineRule="exact"/>
        <w:rPr>
          <w:rFonts w:hint="eastAsia" w:ascii="仿宋" w:hAnsi="仿宋" w:eastAsia="仿宋" w:cs="微软雅黑"/>
          <w:kern w:val="1"/>
          <w:sz w:val="32"/>
          <w:szCs w:val="32"/>
        </w:rPr>
      </w:pPr>
      <w:r>
        <w:rPr>
          <w:rFonts w:hint="eastAsia" w:ascii="仿宋" w:hAnsi="仿宋" w:eastAsia="仿宋" w:cs="Mongolian Baiti"/>
          <w:kern w:val="1"/>
          <w:sz w:val="32"/>
          <w:szCs w:val="32"/>
        </w:rPr>
        <w:t>当事人：湖北多龙多凤生物科技有限公司</w:t>
      </w:r>
      <w:r>
        <w:rPr>
          <w:rFonts w:ascii="仿宋" w:hAnsi="仿宋" w:eastAsia="仿宋" w:cs="微软雅黑"/>
          <w:kern w:val="1"/>
          <w:sz w:val="32"/>
          <w:szCs w:val="32"/>
        </w:rPr>
        <w:t xml:space="preserve"> </w:t>
      </w:r>
    </w:p>
    <w:p w14:paraId="40077781">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统一社会信用代码：</w:t>
      </w:r>
      <w:r>
        <w:rPr>
          <w:rFonts w:ascii="仿宋" w:hAnsi="仿宋" w:eastAsia="仿宋" w:cs="Mongolian Baiti"/>
          <w:kern w:val="1"/>
          <w:sz w:val="32"/>
          <w:szCs w:val="32"/>
        </w:rPr>
        <w:t xml:space="preserve">91420111MA49AUBH86 </w:t>
      </w:r>
    </w:p>
    <w:p w14:paraId="79806521">
      <w:pPr>
        <w:widowControl/>
        <w:suppressAutoHyphens/>
        <w:autoSpaceDE w:val="0"/>
        <w:autoSpaceDN w:val="0"/>
        <w:spacing w:line="500" w:lineRule="exact"/>
        <w:rPr>
          <w:rFonts w:hint="eastAsia" w:ascii="仿宋" w:hAnsi="仿宋" w:eastAsia="仿宋" w:cs="Mongolian Baiti"/>
          <w:kern w:val="1"/>
          <w:sz w:val="32"/>
          <w:szCs w:val="32"/>
        </w:rPr>
      </w:pPr>
      <w:r>
        <w:rPr>
          <w:rFonts w:hint="eastAsia" w:ascii="仿宋" w:hAnsi="仿宋" w:eastAsia="仿宋" w:cs="Mongolian Baiti"/>
          <w:kern w:val="1"/>
          <w:sz w:val="32"/>
          <w:szCs w:val="32"/>
        </w:rPr>
        <w:t>住所：</w:t>
      </w:r>
      <w:r>
        <w:rPr>
          <w:rFonts w:ascii="仿宋" w:hAnsi="仿宋" w:eastAsia="仿宋" w:cs="Mongolian Baiti"/>
          <w:kern w:val="1"/>
          <w:sz w:val="32"/>
          <w:szCs w:val="32"/>
        </w:rPr>
        <w:t>武汉市江夏区山坡乡红旗村猪场</w:t>
      </w:r>
    </w:p>
    <w:p w14:paraId="4DB497F3">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法定代表人：</w:t>
      </w:r>
      <w:r>
        <w:rPr>
          <w:rFonts w:ascii="仿宋" w:hAnsi="仿宋" w:eastAsia="仿宋" w:cs="Mongolian Baiti"/>
          <w:kern w:val="1"/>
          <w:sz w:val="32"/>
          <w:szCs w:val="32"/>
        </w:rPr>
        <w:t>柳芹英</w:t>
      </w:r>
    </w:p>
    <w:p w14:paraId="49B34B8B">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9月25日对当事人登记住所进行了检查，查找不到该企业，通过当事人预留的电话号码也无法取得联系，为查清事实，2025年10月20日本局予以立案。现已调查终结。</w:t>
      </w:r>
    </w:p>
    <w:p w14:paraId="42AF4AD3">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查，当事人于2019年9月10日登记成立，自2024年7月8日至2025年8月8日，本局因当事人2年间未依照《企业信息公示暂行条例》第八条规定的期限公示年度报告，将当事人列入经营异常名录。2025年9月25日本局执法人员对当事人登记经营场所进行实地检查，发现当事人登记住所武汉市江夏区山坡乡红旗村猪场没有该企业。通过注册登记时当事人留下的法定代表人、联系人的电话号码：17763027782，未联系到当事人。经进一步调查，武汉市江夏区山坡街道红旗村村民委员会网格员称也未发现当事人经营迹象。结合区税务局提供拟吊销企业报税信息，因此认定2019年9月至今，当事人无正当理由长期停业未开展经营活动并连续2年未按规定报送年度报告被列入经营异常名录未改正。</w:t>
      </w:r>
    </w:p>
    <w:p w14:paraId="28684E5E">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上述事实，主要有以下证据证明：</w:t>
      </w:r>
    </w:p>
    <w:p w14:paraId="45B35EB5">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《武汉市市场监督管理局、国家税务总局武汉市税务局关于进一步明确长期停业未经营市场主体清理工作相关要求的通知》（武市监〔2022〕75号）文件1份，证明案件来源依据；</w:t>
      </w:r>
    </w:p>
    <w:p w14:paraId="314062BE">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《现场检查笔录》1份，照片打印件1张，证明本局执法人员对当事人登记住所进行实地核查，未发现有开展经营活动的事实；</w:t>
      </w:r>
    </w:p>
    <w:p w14:paraId="02486C85">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武汉市市场监管一体化综合监管平台内当事人注册登记信息截图1张，证明当事人注册登记情况；</w:t>
      </w:r>
    </w:p>
    <w:p w14:paraId="1D246515">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武汉市市场监管一体化综合监管平台企业公示年报信息查询截图打印件1张，证明当事人在2024年至2025年连续2年未按规定报送年度报告被列入经营异常名录未改正事实；</w:t>
      </w:r>
    </w:p>
    <w:p w14:paraId="297FBFB4">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江夏区市场监督管理局关于清理长期停业未经营市场主体公告》1份、《江夏区2025年长期停业未经营市场主体清理名单（109家）》1份、《江夏区税务局连续两年以上未年报税务申报信息核查名单202509203》1份，证明本局督促当事人办理补报年度报告且未进行纳税申报的事实。</w:t>
      </w:r>
    </w:p>
    <w:p w14:paraId="3DA9D9BE">
      <w:pPr>
        <w:keepNext w:val="0"/>
        <w:keepLines w:val="0"/>
        <w:pageBreakBefore w:val="0"/>
        <w:widowControl/>
        <w:numPr>
          <w:numId w:val="0"/>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因当事人不在登记住所经营，《行政处罚告知书》无法直接送达或是邮寄送达，遂采取公告方式进行送达。2025年12月5日，本局在江夏区人民政府政务网发布了《武汉市江夏区市场监督管理局行政处罚文书送达公告》（夏市监罚告〔2025〕327号），告知当事人拟作出行政处罚的事实、理由和依据，同时告知其依法享有陈述、申辩和申请听证的权利，当事人在法定期限内未提出陈述、申辩，也未申请听证。</w:t>
      </w:r>
    </w:p>
    <w:p w14:paraId="589AD4C0">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本局已通过多渠道联系当事人，但无法取得联系，本局认定当事人的情况属于通过登记的住所或经营场所无法取得联系。综合考虑违法行为的事实、性质、情节、社会危害程度、主管过错以及公平公正要求的方面，当事人上述违法行为无减轻或者从轻处罚的情形。</w:t>
      </w:r>
    </w:p>
    <w:p w14:paraId="40C2FB9D">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综上，当事人的行为违反了《企业信息公示暂行条例》第八条第一款的规定，依据《企业信息公示暂行条例》第十八条第一款的规定，本局决定对当事人给予以下处罚：吊销营业执照。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136C8C29">
      <w:pPr>
        <w:widowControl/>
        <w:suppressAutoHyphens/>
        <w:overflowPunct w:val="0"/>
        <w:spacing w:line="500" w:lineRule="exact"/>
        <w:ind w:firstLine="640" w:firstLineChars="200"/>
        <w:rPr>
          <w:rFonts w:hint="eastAsia" w:ascii="仿宋" w:hAnsi="仿宋" w:eastAsia="仿宋" w:cs="仿宋"/>
          <w:color w:val="000000"/>
          <w:sz w:val="32"/>
          <w:szCs w:val="32"/>
        </w:rPr>
      </w:pPr>
    </w:p>
    <w:p w14:paraId="614E7F22">
      <w:pPr>
        <w:widowControl/>
        <w:suppressAutoHyphens/>
        <w:overflowPunct w:val="0"/>
        <w:spacing w:line="500" w:lineRule="exact"/>
        <w:ind w:firstLine="640" w:firstLineChars="200"/>
        <w:rPr>
          <w:rFonts w:hint="eastAsia" w:ascii="仿宋" w:hAnsi="仿宋" w:eastAsia="仿宋" w:cs="仿宋"/>
          <w:color w:val="000000"/>
          <w:sz w:val="32"/>
          <w:szCs w:val="32"/>
        </w:rPr>
      </w:pPr>
    </w:p>
    <w:p w14:paraId="286A45D1">
      <w:pPr>
        <w:widowControl/>
        <w:suppressAutoHyphens/>
        <w:snapToGrid w:val="0"/>
        <w:spacing w:line="500" w:lineRule="exact"/>
        <w:ind w:right="1280"/>
        <w:rPr>
          <w:rFonts w:hint="eastAsia" w:ascii="仿宋" w:hAnsi="仿宋" w:eastAsia="仿宋" w:cs="仿宋"/>
          <w:color w:val="000000"/>
          <w:sz w:val="32"/>
          <w:szCs w:val="32"/>
        </w:rPr>
      </w:pPr>
    </w:p>
    <w:p w14:paraId="2C1DC9C3">
      <w:pPr>
        <w:widowControl/>
        <w:suppressAutoHyphens/>
        <w:snapToGrid w:val="0"/>
        <w:spacing w:line="500" w:lineRule="exact"/>
        <w:ind w:firstLine="1600" w:firstLineChars="500"/>
        <w:jc w:val="right"/>
        <w:rPr>
          <w:rFonts w:hint="eastAsia" w:ascii="仿宋" w:hAnsi="仿宋" w:eastAsia="仿宋" w:cs="仿宋"/>
          <w:color w:val="000000"/>
          <w:sz w:val="32"/>
          <w:szCs w:val="32"/>
        </w:rPr>
      </w:pPr>
      <w:r>
        <w:rPr>
          <w:rFonts w:ascii="仿宋" w:hAnsi="仿宋" w:eastAsia="仿宋" w:cs="仿宋"/>
          <w:color w:val="000000"/>
          <w:sz w:val="32"/>
          <w:szCs w:val="32"/>
        </w:rPr>
        <w:t>武汉市江夏区市场监督管理局</w:t>
      </w:r>
    </w:p>
    <w:p w14:paraId="29B26D6F">
      <w:pPr>
        <w:widowControl/>
        <w:suppressAutoHyphens/>
        <w:snapToGrid w:val="0"/>
        <w:spacing w:line="500" w:lineRule="exact"/>
        <w:ind w:left="4480" w:firstLine="56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（印 章） </w:t>
      </w:r>
    </w:p>
    <w:p w14:paraId="6A619EC4">
      <w:pPr>
        <w:widowControl/>
        <w:suppressAutoHyphens/>
        <w:snapToGrid w:val="0"/>
        <w:spacing w:line="500" w:lineRule="exact"/>
        <w:ind w:firstLine="64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2026年</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ascii="仿宋" w:hAnsi="仿宋" w:eastAsia="仿宋" w:cs="仿宋"/>
          <w:color w:val="000000"/>
          <w:sz w:val="32"/>
          <w:szCs w:val="32"/>
        </w:rPr>
        <w:t>15</w:t>
      </w:r>
      <w:r>
        <w:rPr>
          <w:rFonts w:hint="eastAsia" w:ascii="仿宋" w:hAnsi="仿宋" w:eastAsia="仿宋" w:cs="仿宋"/>
          <w:color w:val="000000"/>
          <w:sz w:val="32"/>
          <w:szCs w:val="32"/>
        </w:rPr>
        <w:t>日</w:t>
      </w:r>
    </w:p>
    <w:p w14:paraId="16E398EF">
      <w:pPr>
        <w:widowControl/>
        <w:suppressAutoHyphens/>
        <w:snapToGrid w:val="0"/>
        <w:spacing w:line="520" w:lineRule="exact"/>
        <w:jc w:val="both"/>
        <w:rPr>
          <w:rFonts w:hint="eastAsia" w:ascii="仿宋" w:hAnsi="仿宋" w:eastAsia="仿宋" w:cs="仿宋"/>
          <w:b/>
          <w:bCs/>
          <w:color w:val="000000"/>
          <w:sz w:val="32"/>
          <w:szCs w:val="32"/>
        </w:rPr>
      </w:pPr>
    </w:p>
    <w:p w14:paraId="0A658393">
      <w:pPr>
        <w:widowControl/>
        <w:suppressAutoHyphens/>
        <w:snapToGrid w:val="0"/>
        <w:spacing w:line="520" w:lineRule="exact"/>
        <w:jc w:val="both"/>
        <w:rPr>
          <w:rFonts w:hint="eastAsia" w:ascii="仿宋" w:hAnsi="仿宋" w:eastAsia="仿宋" w:cs="仿宋"/>
          <w:b/>
          <w:bCs/>
          <w:color w:val="000000"/>
          <w:sz w:val="32"/>
          <w:szCs w:val="32"/>
        </w:rPr>
      </w:pPr>
      <w:bookmarkStart w:id="1" w:name="_GoBack"/>
      <w:bookmarkEnd w:id="1"/>
    </w:p>
    <w:p w14:paraId="602ADC27">
      <w:pPr>
        <w:widowControl/>
        <w:suppressAutoHyphens/>
        <w:snapToGrid w:val="0"/>
        <w:spacing w:line="520" w:lineRule="exact"/>
        <w:jc w:val="center"/>
        <w:rPr>
          <w:rFonts w:hint="eastAsia" w:ascii="仿宋" w:hAnsi="仿宋" w:eastAsia="仿宋" w:cs="仿宋"/>
          <w:b/>
          <w:bCs/>
          <w:color w:val="000000"/>
          <w:sz w:val="32"/>
          <w:szCs w:val="32"/>
        </w:rPr>
      </w:pPr>
    </w:p>
    <w:p w14:paraId="625BBBF5">
      <w:pPr>
        <w:widowControl/>
        <w:suppressAutoHyphens/>
        <w:snapToGrid w:val="0"/>
        <w:spacing w:line="520" w:lineRule="exact"/>
        <w:jc w:val="center"/>
        <w:rPr>
          <w:rFonts w:hint="eastAsia" w:ascii="仿宋" w:hAnsi="仿宋" w:eastAsia="仿宋" w:cs="仿宋"/>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 w:val="32"/>
          <w:szCs w:val="32"/>
        </w:rPr>
        <w:t>（市场监管部门将依法向社会公开本行政处罚决定信息）</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iti SC Light">
    <w:altName w:val="方正书宋_GBK"/>
    <w:panose1 w:val="00000000000000000000"/>
    <w:charset w:val="80"/>
    <w:family w:val="auto"/>
    <w:pitch w:val="default"/>
    <w:sig w:usb0="00000000" w:usb1="00000000" w:usb2="00000010" w:usb3="00000000" w:csb0="003E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BF895FB"/>
    <w:multiLevelType w:val="singleLevel"/>
    <w:tmpl w:val="7BF895FB"/>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9D7F87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uiPriority w:val="0"/>
  </w:style>
  <w:style w:type="character" w:styleId="36">
    <w:name w:val="FollowedHyperlink"/>
    <w:uiPriority w:val="0"/>
    <w:rPr>
      <w:color w:val="800080"/>
      <w:u w:val="single"/>
    </w:rPr>
  </w:style>
  <w:style w:type="character" w:styleId="37">
    <w:name w:val="Hyperlink"/>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uiPriority w:val="0"/>
    <w:rPr>
      <w:rFonts w:eastAsia="黑体"/>
      <w:b/>
      <w:sz w:val="24"/>
    </w:rPr>
  </w:style>
  <w:style w:type="character" w:customStyle="1" w:styleId="43">
    <w:name w:val="标题 2 字符"/>
    <w:link w:val="3"/>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c16ac="http://schemas.microsoft.com/office/drawing/2014/chart/ac" xmlns:xdr="http://schemas.openxmlformats.org/drawingml/2006/spreadsheetDrawing" xmlns:cx="http://schemas.microsoft.com/office/drawing/2014/chartex" xmlns:odgm="http://opendope.org/SmartArt/DataHierarchy" xmlns:odx="http://opendope.org/xpaths" xmlns:w10="urn:schemas-microsoft-com:office:word" xmlns:wp14="http://schemas.microsoft.com/office/word/2010/wordprocessingDrawing" xmlns:w14="http://schemas.microsoft.com/office/word/2010/wordml" xmlns:wp15="http://schemas.microsoft.com/office/word/2012/wordprocessingDrawing" xmlns:c173="http://schemas.microsoft.com/office/drawing/2017/03/chart" xmlns:w15="http://schemas.microsoft.com/office/word/2012/wordml" xmlns:xvml="urn:schemas-microsoft-com:office:excel" xmlns:a="http://schemas.openxmlformats.org/drawingml/2006/main" xmlns:comp="http://schemas.openxmlformats.org/drawingml/2006/compatibility" xmlns:mc="http://schemas.openxmlformats.org/markup-compatibility/2006" xmlns:c="http://schemas.openxmlformats.org/drawingml/2006/chart" xmlns:w16cid="http://schemas.microsoft.com/office/word/2016/wordml/cid" xmlns:msink="http://schemas.microsoft.com/ink/2010/main" xmlns:cppr="http://schemas.microsoft.com/office/2006/coverPageProps" xmlns:m="http://schemas.openxmlformats.org/officeDocument/2006/math" xmlns:o="urn:schemas-microsoft-com:office:office" xmlns:r="http://schemas.openxmlformats.org/officeDocument/2006/relationships" xmlns:v="urn:schemas-microsoft-com:vml" xmlns:w="http://schemas.openxmlformats.org/wordprocessingml/2006/main" xmlns:pic="http://schemas.openxmlformats.org/drawingml/2006/picture" xmlns:wpc="http://schemas.microsoft.com/office/word/2010/wordprocessingCanvas" xmlns:c14="http://schemas.microsoft.com/office/drawing/2007/8/2/chart" xmlns:an18="http://schemas.microsoft.com/office/drawing/2018/animation" xmlns:c15="http://schemas.microsoft.com/office/drawing/2012/chart" xmlns:wpg="http://schemas.microsoft.com/office/word/2010/wordprocessingGroup" xmlns:c16="http://schemas.microsoft.com/office/drawing/2014/chart" xmlns:cdr14="http://schemas.microsoft.com/office/drawing/2010/chartDrawing" xmlns:wps="http://schemas.microsoft.com/office/word/2010/wordprocessingShape" xmlns:a16svg="http://schemas.microsoft.com/office/drawing/2016/SVG/main" xmlns:we="http://schemas.microsoft.com/office/webextensions/webextension/2010/11" xmlns:pic14="http://schemas.microsoft.com/office/drawing/2010/picture" xmlns:iact="http://schemas.microsoft.com/office/powerpoint/2014/inkAction" xmlns:thm15="http://schemas.microsoft.com/office/thememl/2012/main" xmlns:wp="http://schemas.openxmlformats.org/drawingml/2006/wordprocessingDrawing" xmlns:adec="http://schemas.microsoft.com/office/drawing/2017/decorative" xmlns:a1611="http://schemas.microsoft.com/office/drawing/2016/11/main" xmlns:sl="http://schemas.openxmlformats.org/schemaLibrary/2006/main" xmlns:a14="http://schemas.microsoft.com/office/drawing/2010/main" xmlns:wetp="http://schemas.microsoft.com/office/webextensions/taskpanes/2010/11" xmlns:a15="http://schemas.microsoft.com/office/drawing/2012/main" xmlns:a16="http://schemas.microsoft.com/office/drawing/2014/main" xmlns:a18hc="http://schemas.microsoft.com/office/drawing/2018/hyperlinkcolor" xmlns:dgm14="http://schemas.microsoft.com/office/drawing/2010/diagram" xmlns:a13cmd="http://schemas.microsoft.com/office/drawing/2013/main/command" xmlns:dsp="http://schemas.microsoft.com/office/drawing/2008/diagram" xmlns:w16se="http://schemas.microsoft.com/office/word/2015/wordml/symex" xmlns:oda="http://opendope.org/answers" xmlns:dgm1611="http://schemas.microsoft.com/office/drawing/2016/11/diagram" xmlns:odc="http://opendope.org/conditions" xmlns:dgm1612="http://schemas.microsoft.com/office/drawing/2016/12/diagram" xmlns:pvml="urn:schemas-microsoft-com:office:powerpoint" xmlns:am3d="http://schemas.microsoft.com/office/drawing/2017/model3d" xmlns:anam3d="http://schemas.microsoft.com/office/drawing/2018/animation/model3d" xmlns:odi="http://opendope.org/components" xmlns:ns38="http://www.w3.org/1998/Math/MathML" xmlns:ns39="http://www.w3.org/2003/InkML" xmlns:wne="http://schemas.microsoft.com/office/word/2006/wordml" xmlns:cdr="http://schemas.openxmlformats.org/drawingml/2006/chartDrawing" xmlns:dgm="http://schemas.openxmlformats.org/drawingml/2006/diagram" xmlns:cs="http://schemas.microsoft.com/office/drawing/2012/chartStyle" xmlns:odq="http://opendope.org/questions" xmlns:lc="http://schemas.openxmlformats.org/drawingml/2006/lockedCanva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305</TotalTime>
  <ScaleCrop>false</ScaleCrop>
  <LinksUpToDate>false</LinksUpToDate>
  <CharactersWithSpaces>994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greatwall</cp:lastModifiedBy>
  <cp:lastPrinted>2016-03-07T16:24:00Z</cp:lastPrinted>
  <dcterms:modified xsi:type="dcterms:W3CDTF">2026-01-15T10:46:22Z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D7DB335166B919A2FE546869BE89D338_42</vt:lpwstr>
  </property>
</Properties>
</file>