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cs="仿宋"/>
          <w:sz w:val="32"/>
          <w:szCs w:val="32"/>
        </w:rPr>
      </w:pPr>
      <w:r>
        <w:rPr>
          <w:rFonts w:hint="eastAsia" w:ascii="方正小标宋简体" w:hAnsi="方正小标宋简体" w:eastAsia="方正小标宋简体" w:cs="方正小标宋简体"/>
          <w:spacing w:val="-6"/>
          <w:sz w:val="44"/>
          <w:szCs w:val="44"/>
        </w:rPr>
        <w:t>江夏区202</w:t>
      </w:r>
      <w:r>
        <w:rPr>
          <w:rFonts w:hint="eastAsia" w:ascii="方正小标宋简体" w:hAnsi="方正小标宋简体" w:eastAsia="方正小标宋简体" w:cs="方正小标宋简体"/>
          <w:spacing w:val="-6"/>
          <w:sz w:val="44"/>
          <w:szCs w:val="44"/>
          <w:lang w:val="en-US" w:eastAsia="zh-CN"/>
        </w:rPr>
        <w:t>5</w:t>
      </w:r>
      <w:r>
        <w:rPr>
          <w:rFonts w:hint="eastAsia" w:ascii="方正小标宋简体" w:hAnsi="方正小标宋简体" w:eastAsia="方正小标宋简体" w:cs="方正小标宋简体"/>
          <w:spacing w:val="-6"/>
          <w:sz w:val="44"/>
          <w:szCs w:val="44"/>
        </w:rPr>
        <w:t>年市级油菜轮作</w:t>
      </w:r>
      <w:r>
        <w:rPr>
          <w:rFonts w:hint="eastAsia" w:ascii="方正小标宋简体" w:hAnsi="方正小标宋简体" w:eastAsia="方正小标宋简体" w:cs="方正小标宋简体"/>
          <w:spacing w:val="-6"/>
          <w:sz w:val="44"/>
          <w:szCs w:val="44"/>
          <w:lang w:eastAsia="zh-CN"/>
        </w:rPr>
        <w:t>示范</w:t>
      </w:r>
      <w:r>
        <w:rPr>
          <w:rFonts w:hint="eastAsia" w:ascii="方正小标宋简体" w:hAnsi="方正小标宋简体" w:eastAsia="方正小标宋简体" w:cs="方正小标宋简体"/>
          <w:spacing w:val="-6"/>
          <w:sz w:val="44"/>
          <w:szCs w:val="44"/>
        </w:rPr>
        <w:t>项目实施方案</w:t>
      </w:r>
      <w:bookmarkStart w:id="0" w:name="_GoBack"/>
      <w:bookmarkEnd w:id="0"/>
    </w:p>
    <w:p>
      <w:pPr>
        <w:spacing w:line="600" w:lineRule="exact"/>
        <w:rPr>
          <w:rFonts w:ascii="仿宋" w:hAnsi="仿宋" w:eastAsia="仿宋" w:cs="仿宋"/>
          <w:sz w:val="21"/>
          <w:szCs w:val="21"/>
        </w:rPr>
      </w:pPr>
    </w:p>
    <w:p>
      <w:pPr>
        <w:spacing w:line="600" w:lineRule="exact"/>
        <w:ind w:firstLine="646" w:firstLineChars="200"/>
        <w:rPr>
          <w:rFonts w:ascii="仿宋" w:hAnsi="仿宋" w:eastAsia="仿宋" w:cs="仿宋"/>
          <w:sz w:val="32"/>
          <w:szCs w:val="32"/>
        </w:rPr>
      </w:pPr>
      <w:r>
        <w:rPr>
          <w:rFonts w:hint="eastAsia" w:ascii="仿宋" w:hAnsi="仿宋" w:eastAsia="仿宋" w:cs="仿宋"/>
          <w:sz w:val="32"/>
          <w:szCs w:val="32"/>
        </w:rPr>
        <w:t>为了进一步调动农民和各类农业新型经营主体开发利用冬闲田、撂荒地种植油菜的生产积极性，</w:t>
      </w:r>
      <w:r>
        <w:rPr>
          <w:rFonts w:hint="eastAsia" w:ascii="仿宋" w:hAnsi="仿宋" w:eastAsia="仿宋" w:cs="仿宋"/>
          <w:sz w:val="32"/>
          <w:szCs w:val="32"/>
          <w:lang w:eastAsia="zh-CN"/>
        </w:rPr>
        <w:t>根据</w:t>
      </w:r>
      <w:r>
        <w:rPr>
          <w:rFonts w:hint="eastAsia" w:ascii="仿宋" w:hAnsi="仿宋" w:eastAsia="仿宋" w:cs="仿宋"/>
          <w:sz w:val="32"/>
          <w:szCs w:val="32"/>
        </w:rPr>
        <w:t>市农业农村局办公室关于印发</w:t>
      </w:r>
      <w:r>
        <w:rPr>
          <w:rFonts w:hint="eastAsia" w:ascii="仿宋" w:hAnsi="仿宋" w:eastAsia="仿宋" w:cs="仿宋"/>
          <w:sz w:val="32"/>
          <w:szCs w:val="32"/>
          <w:lang w:eastAsia="zh-CN"/>
        </w:rPr>
        <w:t>《</w:t>
      </w:r>
      <w:r>
        <w:rPr>
          <w:rFonts w:hint="eastAsia" w:ascii="仿宋" w:hAnsi="仿宋" w:eastAsia="仿宋" w:cs="仿宋"/>
          <w:sz w:val="32"/>
          <w:szCs w:val="32"/>
        </w:rPr>
        <w:t>武汉市202</w:t>
      </w:r>
      <w:r>
        <w:rPr>
          <w:rFonts w:hint="eastAsia" w:ascii="仿宋" w:hAnsi="仿宋" w:eastAsia="仿宋" w:cs="仿宋"/>
          <w:sz w:val="32"/>
          <w:szCs w:val="32"/>
          <w:lang w:val="en-US" w:eastAsia="zh-CN"/>
        </w:rPr>
        <w:t>5</w:t>
      </w:r>
      <w:r>
        <w:rPr>
          <w:rFonts w:hint="eastAsia" w:ascii="仿宋" w:hAnsi="仿宋" w:eastAsia="仿宋" w:cs="仿宋"/>
          <w:sz w:val="32"/>
          <w:szCs w:val="32"/>
        </w:rPr>
        <w:t>年油菜轮作示范项目实施方案》（武农办[202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27</w:t>
      </w:r>
      <w:r>
        <w:rPr>
          <w:rFonts w:hint="eastAsia" w:ascii="仿宋" w:hAnsi="仿宋" w:eastAsia="仿宋" w:cs="仿宋"/>
          <w:sz w:val="32"/>
          <w:szCs w:val="32"/>
        </w:rPr>
        <w:t>号）</w:t>
      </w:r>
      <w:r>
        <w:rPr>
          <w:rFonts w:hint="eastAsia" w:ascii="仿宋" w:hAnsi="仿宋" w:eastAsia="仿宋" w:cs="仿宋"/>
          <w:sz w:val="32"/>
          <w:szCs w:val="32"/>
          <w:lang w:eastAsia="zh-CN"/>
        </w:rPr>
        <w:t>的通知</w:t>
      </w:r>
      <w:r>
        <w:rPr>
          <w:rFonts w:hint="eastAsia" w:ascii="仿宋" w:hAnsi="仿宋" w:eastAsia="仿宋" w:cs="仿宋"/>
          <w:sz w:val="32"/>
          <w:szCs w:val="32"/>
        </w:rPr>
        <w:t>精神，结合我区实际，特制定本方案。</w:t>
      </w:r>
    </w:p>
    <w:p>
      <w:pPr>
        <w:spacing w:line="600" w:lineRule="exact"/>
        <w:ind w:firstLine="646" w:firstLineChars="200"/>
        <w:rPr>
          <w:rFonts w:ascii="仿宋" w:hAnsi="仿宋" w:eastAsia="仿宋" w:cs="仿宋"/>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总体</w:t>
      </w:r>
      <w:r>
        <w:rPr>
          <w:rFonts w:hint="eastAsia" w:ascii="黑体" w:hAnsi="黑体" w:eastAsia="黑体" w:cs="黑体"/>
          <w:sz w:val="32"/>
          <w:szCs w:val="32"/>
        </w:rPr>
        <w:t>思想</w:t>
      </w:r>
    </w:p>
    <w:p>
      <w:pPr>
        <w:spacing w:line="600" w:lineRule="exact"/>
        <w:ind w:firstLine="646" w:firstLineChars="200"/>
        <w:rPr>
          <w:rFonts w:ascii="仿宋" w:hAnsi="仿宋" w:eastAsia="仿宋" w:cs="仿宋"/>
          <w:sz w:val="32"/>
          <w:szCs w:val="32"/>
        </w:rPr>
      </w:pPr>
      <w:r>
        <w:rPr>
          <w:rFonts w:hint="eastAsia" w:ascii="仿宋" w:hAnsi="仿宋" w:eastAsia="仿宋" w:cs="仿宋"/>
          <w:sz w:val="32"/>
          <w:szCs w:val="32"/>
          <w:lang w:eastAsia="zh-CN"/>
        </w:rPr>
        <w:t>坚持以习近平新时代中国特色社会主义思想为指导，深入贯彻落实国家重要农产品保障战略和粮油大面积单产提升决策部署，</w:t>
      </w:r>
      <w:r>
        <w:rPr>
          <w:rFonts w:hint="eastAsia" w:ascii="仿宋" w:hAnsi="仿宋" w:eastAsia="仿宋" w:cs="仿宋"/>
          <w:sz w:val="32"/>
          <w:szCs w:val="32"/>
          <w:lang w:val="en-US" w:eastAsia="zh-CN"/>
        </w:rPr>
        <w:t>坚持</w:t>
      </w:r>
      <w:r>
        <w:rPr>
          <w:rFonts w:hint="eastAsia" w:ascii="仿宋" w:hAnsi="仿宋" w:eastAsia="仿宋" w:cs="仿宋"/>
          <w:sz w:val="32"/>
          <w:szCs w:val="32"/>
          <w:lang w:eastAsia="zh-CN"/>
        </w:rPr>
        <w:t>发挥我区农业资源优势，</w:t>
      </w:r>
      <w:r>
        <w:rPr>
          <w:rFonts w:hint="eastAsia" w:ascii="仿宋" w:hAnsi="仿宋" w:eastAsia="仿宋" w:cs="仿宋"/>
          <w:sz w:val="32"/>
          <w:szCs w:val="32"/>
          <w:lang w:val="en-US" w:eastAsia="zh-CN"/>
        </w:rPr>
        <w:t>突出</w:t>
      </w:r>
      <w:r>
        <w:rPr>
          <w:rFonts w:hint="eastAsia" w:ascii="仿宋" w:hAnsi="仿宋" w:eastAsia="仿宋" w:cs="仿宋"/>
          <w:sz w:val="32"/>
          <w:szCs w:val="32"/>
          <w:lang w:eastAsia="zh-CN"/>
        </w:rPr>
        <w:t>利用冬闲田、撂荒地</w:t>
      </w:r>
      <w:r>
        <w:rPr>
          <w:rFonts w:hint="eastAsia" w:ascii="仿宋" w:hAnsi="仿宋" w:eastAsia="仿宋" w:cs="仿宋"/>
          <w:sz w:val="32"/>
          <w:szCs w:val="32"/>
          <w:lang w:val="en-US" w:eastAsia="zh-CN"/>
        </w:rPr>
        <w:t>种植</w:t>
      </w:r>
      <w:r>
        <w:rPr>
          <w:rFonts w:hint="eastAsia" w:ascii="仿宋" w:hAnsi="仿宋" w:eastAsia="仿宋" w:cs="仿宋"/>
          <w:sz w:val="32"/>
          <w:szCs w:val="32"/>
          <w:lang w:eastAsia="zh-CN"/>
        </w:rPr>
        <w:t>油菜，努力挖掘油菜扩种潜力，减少耕地撂荒和冬闲田，促进大面积单产提升，增强粮油供给保障能力。</w:t>
      </w:r>
    </w:p>
    <w:p>
      <w:pPr>
        <w:spacing w:line="600" w:lineRule="exact"/>
        <w:ind w:firstLine="646" w:firstLineChars="200"/>
        <w:rPr>
          <w:rFonts w:ascii="仿宋" w:hAnsi="仿宋" w:eastAsia="仿宋" w:cs="仿宋"/>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实施面积</w:t>
      </w:r>
      <w:r>
        <w:rPr>
          <w:rFonts w:hint="eastAsia" w:ascii="黑体" w:hAnsi="黑体" w:eastAsia="黑体" w:cs="黑体"/>
          <w:sz w:val="32"/>
          <w:szCs w:val="32"/>
        </w:rPr>
        <w:t>和补助方式</w:t>
      </w:r>
    </w:p>
    <w:p>
      <w:pPr>
        <w:spacing w:line="600" w:lineRule="exact"/>
        <w:ind w:firstLine="646" w:firstLineChars="200"/>
        <w:rPr>
          <w:rFonts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实施面积</w:t>
      </w:r>
      <w:r>
        <w:rPr>
          <w:rFonts w:hint="eastAsia" w:ascii="楷体" w:hAnsi="楷体" w:eastAsia="楷体" w:cs="楷体"/>
          <w:sz w:val="32"/>
          <w:szCs w:val="32"/>
        </w:rPr>
        <w:t>。</w:t>
      </w:r>
      <w:r>
        <w:rPr>
          <w:rFonts w:hint="eastAsia" w:ascii="仿宋" w:hAnsi="仿宋" w:eastAsia="仿宋" w:cs="仿宋"/>
          <w:sz w:val="32"/>
          <w:szCs w:val="32"/>
          <w:lang w:eastAsia="zh-CN"/>
        </w:rPr>
        <w:t>结合</w:t>
      </w:r>
      <w:r>
        <w:rPr>
          <w:rFonts w:hint="eastAsia" w:ascii="仿宋" w:hAnsi="仿宋" w:eastAsia="仿宋" w:cs="仿宋"/>
          <w:sz w:val="32"/>
          <w:szCs w:val="32"/>
        </w:rPr>
        <w:t>撂荒地</w:t>
      </w:r>
      <w:r>
        <w:rPr>
          <w:rFonts w:hint="eastAsia" w:ascii="Times New Roman" w:hAnsi="Times New Roman" w:eastAsia="仿宋_GB2312"/>
          <w:sz w:val="32"/>
          <w:szCs w:val="32"/>
          <w:highlight w:val="none"/>
        </w:rPr>
        <w:t>整治，重点在冬闲</w:t>
      </w:r>
      <w:r>
        <w:rPr>
          <w:rFonts w:hint="eastAsia" w:ascii="Times New Roman" w:hAnsi="Times New Roman" w:eastAsia="仿宋_GB2312"/>
          <w:sz w:val="32"/>
          <w:szCs w:val="32"/>
          <w:highlight w:val="none"/>
          <w:lang w:val="en-US" w:eastAsia="zh-CN"/>
        </w:rPr>
        <w:t>田</w:t>
      </w:r>
      <w:r>
        <w:rPr>
          <w:rFonts w:hint="eastAsia" w:ascii="Times New Roman" w:hAnsi="Times New Roman" w:eastAsia="仿宋_GB2312"/>
          <w:sz w:val="32"/>
          <w:szCs w:val="32"/>
          <w:highlight w:val="none"/>
        </w:rPr>
        <w:t>或撂荒地扩种油菜，202</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年全</w:t>
      </w:r>
      <w:r>
        <w:rPr>
          <w:rFonts w:hint="eastAsia" w:eastAsia="仿宋_GB2312"/>
          <w:sz w:val="32"/>
          <w:szCs w:val="32"/>
          <w:highlight w:val="none"/>
          <w:lang w:eastAsia="zh-CN"/>
        </w:rPr>
        <w:t>区</w:t>
      </w:r>
      <w:r>
        <w:rPr>
          <w:rFonts w:hint="eastAsia" w:ascii="Times New Roman" w:hAnsi="Times New Roman" w:eastAsia="仿宋_GB2312"/>
          <w:sz w:val="32"/>
          <w:szCs w:val="32"/>
          <w:highlight w:val="none"/>
        </w:rPr>
        <w:t>油菜轮作示范项目</w:t>
      </w:r>
      <w:r>
        <w:rPr>
          <w:rFonts w:hint="eastAsia" w:ascii="Times New Roman" w:hAnsi="Times New Roman" w:eastAsia="仿宋_GB2312"/>
          <w:sz w:val="32"/>
          <w:szCs w:val="32"/>
          <w:highlight w:val="none"/>
          <w:lang w:val="en-US" w:eastAsia="zh-CN"/>
        </w:rPr>
        <w:t>面积</w:t>
      </w:r>
      <w:r>
        <w:rPr>
          <w:rFonts w:hint="eastAsia" w:eastAsia="仿宋_GB2312"/>
          <w:sz w:val="32"/>
          <w:szCs w:val="32"/>
          <w:highlight w:val="none"/>
          <w:lang w:val="en-US" w:eastAsia="zh-CN"/>
        </w:rPr>
        <w:t>8000</w:t>
      </w:r>
      <w:r>
        <w:rPr>
          <w:rFonts w:hint="eastAsia" w:ascii="Times New Roman" w:hAnsi="Times New Roman" w:eastAsia="仿宋_GB2312"/>
          <w:sz w:val="32"/>
          <w:szCs w:val="32"/>
          <w:highlight w:val="none"/>
        </w:rPr>
        <w:t>亩</w:t>
      </w:r>
      <w:r>
        <w:rPr>
          <w:rFonts w:hint="eastAsia" w:eastAsia="仿宋_GB2312"/>
          <w:sz w:val="32"/>
          <w:szCs w:val="32"/>
          <w:highlight w:val="none"/>
          <w:lang w:eastAsia="zh-CN"/>
        </w:rPr>
        <w:t>。</w:t>
      </w:r>
      <w:r>
        <w:rPr>
          <w:rFonts w:hint="eastAsia" w:ascii="仿宋" w:hAnsi="仿宋" w:eastAsia="仿宋" w:cs="仿宋"/>
          <w:sz w:val="32"/>
          <w:szCs w:val="32"/>
        </w:rPr>
        <w:t>其中：</w:t>
      </w:r>
      <w:r>
        <w:rPr>
          <w:rFonts w:hint="eastAsia" w:ascii="仿宋" w:hAnsi="仿宋" w:eastAsia="仿宋" w:cs="仿宋"/>
          <w:sz w:val="32"/>
          <w:szCs w:val="32"/>
          <w:lang w:val="en-US" w:eastAsia="zh-CN"/>
        </w:rPr>
        <w:t>五里界街2060亩，安山街1200亩，湖泗街800亩，乌龙泉街500亩，山坡街2340亩，法泗街1100亩</w:t>
      </w:r>
      <w:r>
        <w:rPr>
          <w:rFonts w:hint="eastAsia" w:ascii="仿宋" w:hAnsi="仿宋" w:eastAsia="仿宋" w:cs="仿宋"/>
          <w:sz w:val="32"/>
          <w:szCs w:val="32"/>
        </w:rPr>
        <w:t>。</w:t>
      </w:r>
    </w:p>
    <w:p>
      <w:pPr>
        <w:spacing w:line="600" w:lineRule="exact"/>
        <w:ind w:firstLine="646" w:firstLineChars="200"/>
        <w:rPr>
          <w:rFonts w:hint="eastAsia" w:ascii="仿宋" w:hAnsi="仿宋" w:eastAsia="仿宋" w:cs="仿宋"/>
          <w:sz w:val="32"/>
          <w:szCs w:val="32"/>
          <w:lang w:eastAsia="zh-CN"/>
        </w:rPr>
      </w:pPr>
      <w:r>
        <w:rPr>
          <w:rFonts w:hint="eastAsia" w:ascii="楷体" w:hAnsi="楷体" w:eastAsia="楷体" w:cs="楷体"/>
          <w:sz w:val="32"/>
          <w:szCs w:val="32"/>
        </w:rPr>
        <w:t>（二）补助标准。</w:t>
      </w:r>
      <w:r>
        <w:rPr>
          <w:rFonts w:hint="eastAsia" w:ascii="仿宋" w:hAnsi="仿宋" w:eastAsia="仿宋" w:cs="仿宋"/>
          <w:sz w:val="32"/>
          <w:szCs w:val="32"/>
          <w:lang w:val="en-US" w:eastAsia="zh-CN"/>
        </w:rPr>
        <w:t>2025年市级财政安排我区油菜轮作示范补贴资金120万元，</w:t>
      </w:r>
      <w:r>
        <w:rPr>
          <w:rFonts w:hint="eastAsia" w:ascii="仿宋" w:hAnsi="仿宋" w:eastAsia="仿宋" w:cs="仿宋"/>
          <w:sz w:val="32"/>
          <w:szCs w:val="32"/>
          <w:lang w:eastAsia="zh-CN"/>
        </w:rPr>
        <w:t>亩</w:t>
      </w:r>
      <w:r>
        <w:rPr>
          <w:rFonts w:hint="eastAsia" w:ascii="仿宋" w:hAnsi="仿宋" w:eastAsia="仿宋" w:cs="仿宋"/>
          <w:sz w:val="32"/>
          <w:szCs w:val="32"/>
        </w:rPr>
        <w:t>平</w:t>
      </w:r>
      <w:r>
        <w:rPr>
          <w:rFonts w:hint="eastAsia" w:ascii="仿宋" w:hAnsi="仿宋" w:eastAsia="仿宋" w:cs="仿宋"/>
          <w:sz w:val="32"/>
          <w:szCs w:val="32"/>
          <w:lang w:eastAsia="zh-CN"/>
        </w:rPr>
        <w:t>补助</w:t>
      </w:r>
      <w:r>
        <w:rPr>
          <w:rFonts w:hint="eastAsia" w:ascii="仿宋" w:hAnsi="仿宋" w:eastAsia="仿宋" w:cs="仿宋"/>
          <w:sz w:val="32"/>
          <w:szCs w:val="32"/>
        </w:rPr>
        <w:t>150元</w:t>
      </w:r>
      <w:r>
        <w:rPr>
          <w:rFonts w:hint="eastAsia" w:ascii="仿宋" w:hAnsi="仿宋" w:eastAsia="仿宋" w:cs="仿宋"/>
          <w:sz w:val="32"/>
          <w:szCs w:val="32"/>
          <w:lang w:eastAsia="zh-CN"/>
        </w:rPr>
        <w:t>。区级财政可结合本地财力给予相应政策扶持，重点支持撂荒地新种油菜的前期土地耕整作业。</w:t>
      </w:r>
    </w:p>
    <w:p>
      <w:pPr>
        <w:spacing w:line="600" w:lineRule="exact"/>
        <w:ind w:firstLine="646" w:firstLineChars="200"/>
        <w:rPr>
          <w:rFonts w:hint="eastAsia" w:ascii="仿宋" w:hAnsi="仿宋" w:eastAsia="仿宋" w:cs="仿宋"/>
          <w:sz w:val="32"/>
          <w:szCs w:val="32"/>
          <w:lang w:eastAsia="zh-CN"/>
        </w:rPr>
      </w:pPr>
      <w:r>
        <w:rPr>
          <w:rFonts w:hint="eastAsia" w:ascii="楷体" w:hAnsi="楷体" w:eastAsia="楷体" w:cs="楷体"/>
          <w:sz w:val="32"/>
          <w:szCs w:val="32"/>
        </w:rPr>
        <w:t>（三）补助对象。</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年秋冬扩种油菜的业主，重点支持利用冬闲田、撂荒地扩种油菜。业主为经街</w:t>
      </w:r>
      <w:r>
        <w:rPr>
          <w:rFonts w:hint="eastAsia" w:ascii="仿宋" w:hAnsi="仿宋" w:eastAsia="仿宋" w:cs="仿宋"/>
          <w:sz w:val="32"/>
          <w:szCs w:val="32"/>
          <w:lang w:eastAsia="zh-CN"/>
        </w:rPr>
        <w:t>道</w:t>
      </w:r>
      <w:r>
        <w:rPr>
          <w:rFonts w:hint="eastAsia" w:ascii="仿宋" w:hAnsi="仿宋" w:eastAsia="仿宋" w:cs="仿宋"/>
          <w:sz w:val="32"/>
          <w:szCs w:val="32"/>
        </w:rPr>
        <w:t>遴选确定的村集体、种植大户、农民合作社、种植企业等种植生产经营主体，利用冬闲田种植油菜的单个业主当年承担油菜轮作种植面积应相对集中连片50亩以上，对通过撂荒地整治种植油菜的业主，可不受连片面积大小限制</w:t>
      </w:r>
      <w:r>
        <w:rPr>
          <w:rFonts w:hint="eastAsia" w:ascii="仿宋" w:hAnsi="仿宋" w:eastAsia="仿宋" w:cs="仿宋"/>
          <w:sz w:val="32"/>
          <w:szCs w:val="32"/>
          <w:lang w:eastAsia="zh-CN"/>
        </w:rPr>
        <w:t>。</w:t>
      </w:r>
    </w:p>
    <w:p>
      <w:pPr>
        <w:spacing w:line="600" w:lineRule="exact"/>
        <w:ind w:firstLine="646" w:firstLineChars="200"/>
        <w:rPr>
          <w:rFonts w:ascii="仿宋" w:hAnsi="仿宋" w:eastAsia="仿宋" w:cs="仿宋"/>
          <w:sz w:val="32"/>
          <w:szCs w:val="32"/>
        </w:rPr>
      </w:pPr>
      <w:r>
        <w:rPr>
          <w:rFonts w:hint="eastAsia" w:ascii="楷体" w:hAnsi="楷体" w:eastAsia="楷体" w:cs="楷体"/>
          <w:sz w:val="32"/>
          <w:szCs w:val="32"/>
        </w:rPr>
        <w:t>（四）补助方式。</w:t>
      </w:r>
      <w:r>
        <w:rPr>
          <w:rFonts w:hint="eastAsia" w:ascii="仿宋" w:hAnsi="仿宋" w:eastAsia="仿宋" w:cs="仿宋"/>
          <w:sz w:val="32"/>
          <w:szCs w:val="32"/>
          <w:lang w:eastAsia="zh-CN"/>
        </w:rPr>
        <w:t>区级</w:t>
      </w:r>
      <w:r>
        <w:rPr>
          <w:rFonts w:hint="eastAsia" w:ascii="仿宋" w:hAnsi="仿宋" w:eastAsia="仿宋" w:cs="仿宋"/>
          <w:sz w:val="32"/>
          <w:szCs w:val="32"/>
        </w:rPr>
        <w:t>补助资金重点用于油菜播种环节，通过政府集中采购提供种子、肥料、药剂等生产物资和机械化作业服务（机械化作业服务补助占本区补助资金比例≤50%），不得实行资金直补或以奖代补。油菜实施免费统一供种，合理确定肥料、药剂和机械化作业等环节及补助标准，具体补贴内容、标准</w:t>
      </w:r>
      <w:r>
        <w:rPr>
          <w:rFonts w:hint="eastAsia" w:ascii="仿宋" w:hAnsi="仿宋" w:eastAsia="仿宋" w:cs="仿宋"/>
          <w:sz w:val="32"/>
          <w:szCs w:val="32"/>
          <w:lang w:eastAsia="zh-CN"/>
        </w:rPr>
        <w:t>由我区</w:t>
      </w:r>
      <w:r>
        <w:rPr>
          <w:rFonts w:hint="eastAsia" w:ascii="仿宋" w:hAnsi="仿宋" w:eastAsia="仿宋" w:cs="仿宋"/>
          <w:sz w:val="32"/>
          <w:szCs w:val="32"/>
        </w:rPr>
        <w:t>根据实际细化落实。</w:t>
      </w:r>
    </w:p>
    <w:p>
      <w:pPr>
        <w:spacing w:line="600" w:lineRule="exact"/>
        <w:ind w:firstLine="646" w:firstLineChars="200"/>
        <w:rPr>
          <w:rFonts w:ascii="仿宋" w:hAnsi="仿宋" w:eastAsia="仿宋" w:cs="仿宋"/>
          <w:sz w:val="32"/>
          <w:szCs w:val="32"/>
        </w:rPr>
      </w:pPr>
      <w:r>
        <w:rPr>
          <w:rFonts w:hint="eastAsia" w:ascii="黑体" w:hAnsi="黑体" w:eastAsia="黑体" w:cs="黑体"/>
          <w:sz w:val="32"/>
          <w:szCs w:val="32"/>
        </w:rPr>
        <w:t>四、操作程序</w:t>
      </w:r>
    </w:p>
    <w:p>
      <w:pPr>
        <w:spacing w:line="600" w:lineRule="exact"/>
        <w:ind w:firstLine="646" w:firstLineChars="200"/>
        <w:rPr>
          <w:rFonts w:ascii="仿宋" w:hAnsi="仿宋" w:eastAsia="仿宋" w:cs="仿宋"/>
          <w:sz w:val="32"/>
          <w:szCs w:val="32"/>
        </w:rPr>
      </w:pPr>
      <w:r>
        <w:rPr>
          <w:rFonts w:hint="eastAsia" w:ascii="仿宋" w:hAnsi="仿宋" w:eastAsia="仿宋" w:cs="仿宋"/>
          <w:sz w:val="32"/>
          <w:szCs w:val="32"/>
        </w:rPr>
        <w:t>市级油菜轮作项目</w:t>
      </w:r>
      <w:r>
        <w:rPr>
          <w:rFonts w:hint="eastAsia" w:ascii="仿宋" w:hAnsi="仿宋" w:eastAsia="仿宋" w:cs="仿宋"/>
          <w:sz w:val="32"/>
          <w:szCs w:val="32"/>
          <w:lang w:eastAsia="zh-CN"/>
        </w:rPr>
        <w:t>示范</w:t>
      </w:r>
      <w:r>
        <w:rPr>
          <w:rFonts w:hint="eastAsia" w:ascii="仿宋" w:hAnsi="仿宋" w:eastAsia="仿宋" w:cs="仿宋"/>
          <w:sz w:val="32"/>
          <w:szCs w:val="32"/>
        </w:rPr>
        <w:t>工作由</w:t>
      </w:r>
      <w:r>
        <w:rPr>
          <w:rFonts w:hint="eastAsia" w:ascii="仿宋" w:hAnsi="仿宋" w:eastAsia="仿宋" w:cs="仿宋"/>
          <w:sz w:val="32"/>
          <w:szCs w:val="32"/>
          <w:lang w:eastAsia="zh-CN"/>
        </w:rPr>
        <w:t>江夏区农业技术推广中心具体</w:t>
      </w:r>
      <w:r>
        <w:rPr>
          <w:rFonts w:hint="eastAsia" w:ascii="仿宋" w:hAnsi="仿宋" w:eastAsia="仿宋" w:cs="仿宋"/>
          <w:sz w:val="32"/>
          <w:szCs w:val="32"/>
        </w:rPr>
        <w:t>组织实施，制定实施方案报市油菜轮作项目主管机构存档。202</w:t>
      </w:r>
      <w:r>
        <w:rPr>
          <w:rFonts w:hint="eastAsia" w:ascii="仿宋" w:hAnsi="仿宋" w:eastAsia="仿宋" w:cs="仿宋"/>
          <w:sz w:val="32"/>
          <w:szCs w:val="32"/>
          <w:lang w:val="en-US" w:eastAsia="zh-CN"/>
        </w:rPr>
        <w:t>5</w:t>
      </w:r>
      <w:r>
        <w:rPr>
          <w:rFonts w:hint="eastAsia" w:ascii="仿宋" w:hAnsi="仿宋" w:eastAsia="仿宋" w:cs="仿宋"/>
          <w:sz w:val="32"/>
          <w:szCs w:val="32"/>
        </w:rPr>
        <w:t>年12月15日前完成项目实施任务并提交总结报告。</w:t>
      </w:r>
    </w:p>
    <w:p>
      <w:pPr>
        <w:spacing w:line="600" w:lineRule="exact"/>
        <w:ind w:firstLine="646" w:firstLineChars="200"/>
        <w:rPr>
          <w:rFonts w:ascii="仿宋" w:hAnsi="仿宋" w:eastAsia="仿宋" w:cs="仿宋"/>
          <w:sz w:val="32"/>
          <w:szCs w:val="32"/>
        </w:rPr>
      </w:pPr>
      <w:r>
        <w:rPr>
          <w:rFonts w:hint="eastAsia" w:ascii="楷体" w:hAnsi="楷体" w:eastAsia="楷体" w:cs="楷体"/>
          <w:sz w:val="32"/>
          <w:szCs w:val="32"/>
        </w:rPr>
        <w:t>（一）确定</w:t>
      </w:r>
      <w:r>
        <w:rPr>
          <w:rFonts w:hint="eastAsia" w:ascii="楷体" w:hAnsi="楷体" w:eastAsia="楷体" w:cs="楷体"/>
          <w:sz w:val="32"/>
          <w:szCs w:val="32"/>
          <w:lang w:eastAsia="zh-CN"/>
        </w:rPr>
        <w:t>示范</w:t>
      </w:r>
      <w:r>
        <w:rPr>
          <w:rFonts w:hint="eastAsia" w:ascii="楷体" w:hAnsi="楷体" w:eastAsia="楷体" w:cs="楷体"/>
          <w:sz w:val="32"/>
          <w:szCs w:val="32"/>
        </w:rPr>
        <w:t>区域。</w:t>
      </w:r>
      <w:r>
        <w:rPr>
          <w:rFonts w:hint="eastAsia" w:ascii="仿宋" w:hAnsi="仿宋" w:eastAsia="仿宋" w:cs="仿宋"/>
          <w:sz w:val="32"/>
          <w:szCs w:val="32"/>
          <w:lang w:eastAsia="zh-CN"/>
        </w:rPr>
        <w:t>结合冬闲田利用、撂荒地整治、“四线一口”地区农用地区域环境综合整治，</w:t>
      </w:r>
      <w:r>
        <w:rPr>
          <w:rFonts w:hint="eastAsia" w:ascii="仿宋" w:hAnsi="仿宋" w:eastAsia="仿宋" w:cs="仿宋"/>
          <w:sz w:val="32"/>
          <w:szCs w:val="32"/>
        </w:rPr>
        <w:t>优先选择积极性高、油菜扩种潜力大的街</w:t>
      </w:r>
      <w:r>
        <w:rPr>
          <w:rFonts w:hint="eastAsia" w:ascii="仿宋" w:hAnsi="仿宋" w:eastAsia="仿宋" w:cs="仿宋"/>
          <w:sz w:val="32"/>
          <w:szCs w:val="32"/>
          <w:lang w:eastAsia="zh-CN"/>
        </w:rPr>
        <w:t>道</w:t>
      </w:r>
      <w:r>
        <w:rPr>
          <w:rFonts w:hint="eastAsia" w:ascii="仿宋" w:hAnsi="仿宋" w:eastAsia="仿宋" w:cs="仿宋"/>
          <w:sz w:val="32"/>
          <w:szCs w:val="32"/>
        </w:rPr>
        <w:t>和区域进行实施，要将面积分解到村到组，落实到具体田块。</w:t>
      </w:r>
    </w:p>
    <w:p>
      <w:pPr>
        <w:spacing w:line="600" w:lineRule="exact"/>
        <w:ind w:firstLine="646" w:firstLineChars="200"/>
        <w:rPr>
          <w:rFonts w:ascii="仿宋" w:hAnsi="仿宋" w:eastAsia="仿宋" w:cs="仿宋"/>
          <w:sz w:val="32"/>
          <w:szCs w:val="32"/>
        </w:rPr>
      </w:pPr>
      <w:r>
        <w:rPr>
          <w:rFonts w:hint="eastAsia" w:ascii="楷体" w:hAnsi="楷体" w:eastAsia="楷体" w:cs="楷体"/>
          <w:sz w:val="32"/>
          <w:szCs w:val="32"/>
        </w:rPr>
        <w:t>（二）组织政府采购。</w:t>
      </w:r>
      <w:r>
        <w:rPr>
          <w:rFonts w:hint="eastAsia" w:ascii="仿宋" w:hAnsi="仿宋" w:eastAsia="仿宋" w:cs="仿宋"/>
          <w:sz w:val="32"/>
          <w:szCs w:val="32"/>
          <w:lang w:eastAsia="zh-CN"/>
        </w:rPr>
        <w:t>按照《国家发展改革委发布关于进一步做好&lt;必须招标的工程项目规定&gt;和&lt;必须招标的基础设施和公用事业项目范围规定&gt;实施工作的通知》（发改办法规〔2020〕770号）、《政府采购货物和服务招标投标管理办法》（财政部令第87号）、《政府采购竞争性磋商采购方式管理暂行办法》（财库〔2014〕214号）等相关规定，由区农业技术推广中心主导政府集中采购工作，采购内容为落实本项目所需的种子、肥料、药剂等生产物资和农机作业服务。采购的种子应具备：1.经湖北省审定、国家审定或农业农村部登记种植适宜区域包含湖北省的品种；2.应达到《NY414-2000低芥酸低硫苷油菜种子》质量标准；3.禁止从油菜根肿病疫区调运种子；4.种子质量符合国家规定标准；5.在省、市推荐的油菜主导品种和示范品种范围内，为推进农业公用品牌建设，原则上一区一品，我区不超过两个品种。大力推广油菜专用配方肥、缓（控）释肥等绿色高效肥料。大力推广安装有北斗农机终端设备的农机开展机械化服务。政府采购工作应与供种、供肥、机械化作业时间相衔接。种子、肥料等物资可由乡镇或村统一管理，农户或新型经营主体领取时签字（见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line="600" w:lineRule="exact"/>
        <w:ind w:firstLine="646" w:firstLineChars="200"/>
        <w:rPr>
          <w:rFonts w:ascii="仿宋" w:hAnsi="仿宋" w:eastAsia="仿宋" w:cs="仿宋"/>
          <w:sz w:val="32"/>
          <w:szCs w:val="32"/>
        </w:rPr>
      </w:pPr>
      <w:r>
        <w:rPr>
          <w:rFonts w:hint="eastAsia" w:ascii="楷体" w:hAnsi="楷体" w:eastAsia="楷体" w:cs="楷体"/>
          <w:sz w:val="32"/>
          <w:szCs w:val="32"/>
        </w:rPr>
        <w:t>（三）种植面积认定。</w:t>
      </w:r>
      <w:r>
        <w:rPr>
          <w:rFonts w:hint="eastAsia" w:ascii="仿宋" w:hAnsi="仿宋" w:eastAsia="仿宋" w:cs="仿宋"/>
          <w:sz w:val="32"/>
          <w:szCs w:val="32"/>
          <w:lang w:eastAsia="zh-CN"/>
        </w:rPr>
        <w:t>区农业技术推广中心组织制定本项目油菜播栽质量和面积认定标准。严格落实“谁种谁签字”规定，明确新型经营主体土地流转、代耕代种面积认定程序。提供统一作业服务的，可通过“湖北省北斗农机信息化智能管理系统”监测数据核实作业面积。街道负责实施面积核定工作，填报《武汉市油菜轮作示范项目任务验收单》（见附件2），农户、新型经营主体签字确认。区农业技术推广中心要及时对各街道的面积核定情况进行复核，并及时公示</w:t>
      </w:r>
      <w:r>
        <w:rPr>
          <w:rFonts w:hint="eastAsia" w:ascii="仿宋" w:hAnsi="仿宋" w:eastAsia="仿宋" w:cs="仿宋"/>
          <w:sz w:val="32"/>
          <w:szCs w:val="32"/>
        </w:rPr>
        <w:t>。</w:t>
      </w:r>
    </w:p>
    <w:p>
      <w:pPr>
        <w:spacing w:line="600" w:lineRule="exact"/>
        <w:ind w:firstLine="646" w:firstLineChars="200"/>
        <w:rPr>
          <w:rFonts w:ascii="仿宋" w:hAnsi="仿宋" w:eastAsia="仿宋" w:cs="仿宋"/>
          <w:sz w:val="32"/>
          <w:szCs w:val="32"/>
        </w:rPr>
      </w:pPr>
      <w:r>
        <w:rPr>
          <w:rFonts w:hint="eastAsia" w:ascii="楷体" w:hAnsi="楷体" w:eastAsia="楷体" w:cs="楷体"/>
          <w:sz w:val="32"/>
          <w:szCs w:val="32"/>
        </w:rPr>
        <w:t>（四）兑付补助资金。</w:t>
      </w:r>
      <w:r>
        <w:rPr>
          <w:rFonts w:hint="eastAsia" w:ascii="仿宋" w:hAnsi="仿宋" w:eastAsia="仿宋" w:cs="仿宋"/>
          <w:sz w:val="32"/>
          <w:szCs w:val="32"/>
          <w:lang w:eastAsia="zh-CN"/>
        </w:rPr>
        <w:t>项目实施面积和机械化作业服务面积核实公示无异议后，由区农业技术推广中心汇总形成《武汉市油菜轮作示范项目机械化作业补助资金明细表》（见附件3），以及将种子、肥料、药剂等生产物资采购协议等财务报账所需资料，经审核无误后按财务管理规定程序及时足额拨付。确因招标采购或气候等不可抗拒客观原因导致补助资金有结余的，应及时做好结余资金使用计划。结余资金继续用于本项目区域当季油菜生产田管，可用于冬季追肥、抗逆防冻、花期“一促四防”、机收减损作业补助等方面，全部补助资金在当季油菜收获前足额支付</w:t>
      </w:r>
      <w:r>
        <w:rPr>
          <w:rFonts w:hint="eastAsia" w:ascii="仿宋" w:hAnsi="仿宋" w:eastAsia="仿宋" w:cs="仿宋"/>
          <w:sz w:val="32"/>
          <w:szCs w:val="32"/>
        </w:rPr>
        <w:t>。</w:t>
      </w:r>
    </w:p>
    <w:p>
      <w:pPr>
        <w:spacing w:line="600" w:lineRule="exact"/>
        <w:ind w:firstLine="646" w:firstLineChars="200"/>
        <w:rPr>
          <w:rFonts w:ascii="仿宋" w:hAnsi="仿宋" w:eastAsia="仿宋" w:cs="仿宋"/>
          <w:sz w:val="32"/>
          <w:szCs w:val="32"/>
        </w:rPr>
      </w:pPr>
      <w:r>
        <w:rPr>
          <w:rFonts w:hint="eastAsia" w:ascii="黑体" w:hAnsi="黑体" w:eastAsia="黑体" w:cs="黑体"/>
          <w:sz w:val="32"/>
          <w:szCs w:val="32"/>
        </w:rPr>
        <w:t>五、工作要求</w:t>
      </w:r>
    </w:p>
    <w:p>
      <w:pPr>
        <w:spacing w:line="600" w:lineRule="exact"/>
        <w:ind w:firstLine="646" w:firstLineChars="200"/>
        <w:rPr>
          <w:rFonts w:ascii="仿宋" w:hAnsi="仿宋" w:eastAsia="仿宋" w:cs="仿宋"/>
          <w:sz w:val="32"/>
          <w:szCs w:val="32"/>
        </w:rPr>
      </w:pPr>
      <w:r>
        <w:rPr>
          <w:rFonts w:hint="eastAsia" w:ascii="楷体" w:hAnsi="楷体" w:eastAsia="楷体" w:cs="楷体"/>
          <w:sz w:val="32"/>
          <w:szCs w:val="32"/>
        </w:rPr>
        <w:t>（一）加强组织领导。</w:t>
      </w:r>
      <w:r>
        <w:rPr>
          <w:rFonts w:hint="eastAsia" w:ascii="仿宋" w:hAnsi="仿宋" w:eastAsia="仿宋" w:cs="仿宋"/>
          <w:sz w:val="32"/>
          <w:szCs w:val="32"/>
          <w:lang w:eastAsia="zh-CN"/>
        </w:rPr>
        <w:t>落实区级负总责、街道抓落实的工作机制。由区农技推广中心承担全区油菜轮作示范项目日常工作，具体做好组织协调、督导指导和项目监管等工作。成立市级油菜轮作示范项目领导小组、技术指导组、区审核小组，项目领导小组组长李</w:t>
      </w:r>
      <w:r>
        <w:rPr>
          <w:rFonts w:hint="eastAsia" w:ascii="仿宋" w:hAnsi="仿宋" w:eastAsia="仿宋" w:cs="仿宋"/>
          <w:sz w:val="32"/>
          <w:szCs w:val="32"/>
          <w:lang w:val="en-US" w:eastAsia="zh-CN"/>
        </w:rPr>
        <w:t>祥</w:t>
      </w:r>
      <w:r>
        <w:rPr>
          <w:rFonts w:hint="eastAsia" w:ascii="仿宋" w:hAnsi="仿宋" w:eastAsia="仿宋" w:cs="仿宋"/>
          <w:sz w:val="32"/>
          <w:szCs w:val="32"/>
          <w:lang w:eastAsia="zh-CN"/>
        </w:rPr>
        <w:t>，副组长韩伟，责任组长廖其惠，成员陶蔚、赵柳；技术指导组组长廖其惠，成员王振林、陈细桂、李伟、李顿；区审核小组组长韩伟</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成员廖其惠、陶蔚。按照上下对口原则，组织实施本区油菜轮作示范项目，项目区域技术指导和工作考核、验收、绩效评价等工作。街道要按照“依法、自愿、有偿”原则，推进冬闲田、撂荒地土地流转、季节性转包、代耕代种、耕种托管，不折不扣落实油菜轮作示范项目扶持政策，保障项目实施工作依法依规、规范有序开展</w:t>
      </w:r>
      <w:r>
        <w:rPr>
          <w:rFonts w:hint="eastAsia" w:ascii="仿宋" w:hAnsi="仿宋" w:eastAsia="仿宋" w:cs="仿宋"/>
          <w:sz w:val="32"/>
          <w:szCs w:val="32"/>
        </w:rPr>
        <w:t>。</w:t>
      </w:r>
    </w:p>
    <w:p>
      <w:pPr>
        <w:spacing w:line="600" w:lineRule="exact"/>
        <w:ind w:firstLine="646" w:firstLineChars="200"/>
        <w:rPr>
          <w:rFonts w:ascii="仿宋" w:hAnsi="仿宋" w:eastAsia="仿宋" w:cs="仿宋"/>
          <w:sz w:val="32"/>
          <w:szCs w:val="32"/>
        </w:rPr>
      </w:pPr>
      <w:r>
        <w:rPr>
          <w:rFonts w:hint="eastAsia" w:ascii="楷体" w:hAnsi="楷体" w:eastAsia="楷体" w:cs="楷体"/>
          <w:sz w:val="32"/>
          <w:szCs w:val="32"/>
        </w:rPr>
        <w:t>（二）细化实化任务。</w:t>
      </w:r>
      <w:r>
        <w:rPr>
          <w:rFonts w:hint="eastAsia" w:ascii="仿宋" w:hAnsi="仿宋" w:eastAsia="仿宋" w:cs="仿宋"/>
          <w:sz w:val="32"/>
          <w:szCs w:val="32"/>
          <w:lang w:eastAsia="zh-CN"/>
        </w:rPr>
        <w:t>坚持油用为主，注重拓展油菜“一菜多用”功能，特别是发展“赏花经济”，推进“农旅+”，促进油菜产业发展、和美乡村建设、农村经济多样化。区农业技术推广中心</w:t>
      </w:r>
      <w:r>
        <w:rPr>
          <w:rFonts w:hint="eastAsia" w:ascii="仿宋" w:hAnsi="仿宋" w:eastAsia="仿宋" w:cs="仿宋"/>
          <w:sz w:val="32"/>
          <w:szCs w:val="32"/>
        </w:rPr>
        <w:t>要制定实施方案</w:t>
      </w:r>
      <w:r>
        <w:rPr>
          <w:rFonts w:hint="eastAsia" w:ascii="仿宋" w:hAnsi="仿宋" w:eastAsia="仿宋" w:cs="仿宋"/>
          <w:sz w:val="32"/>
          <w:szCs w:val="32"/>
          <w:lang w:eastAsia="zh-CN"/>
        </w:rPr>
        <w:t>和技术意见</w:t>
      </w:r>
      <w:r>
        <w:rPr>
          <w:rFonts w:hint="eastAsia" w:ascii="仿宋" w:hAnsi="仿宋" w:eastAsia="仿宋" w:cs="仿宋"/>
          <w:sz w:val="32"/>
          <w:szCs w:val="32"/>
        </w:rPr>
        <w:t>，明确实施内容、项目区域、补助标准、补助方式、技术路径、保障措施、监管举措等内容。</w:t>
      </w:r>
      <w:r>
        <w:rPr>
          <w:rFonts w:hint="eastAsia" w:ascii="仿宋" w:hAnsi="仿宋" w:eastAsia="仿宋" w:cs="仿宋"/>
          <w:sz w:val="32"/>
          <w:szCs w:val="32"/>
          <w:lang w:eastAsia="zh-CN"/>
        </w:rPr>
        <w:t>我区要兴办1个油菜绿色高产高效千亩示范片，并做好政府集中采购工作，及时发放补助物资，严格发放程序。</w:t>
      </w:r>
    </w:p>
    <w:p>
      <w:pPr>
        <w:spacing w:line="600" w:lineRule="exact"/>
        <w:ind w:firstLine="646" w:firstLineChars="200"/>
        <w:rPr>
          <w:rFonts w:ascii="仿宋" w:hAnsi="仿宋" w:eastAsia="仿宋" w:cs="仿宋"/>
          <w:sz w:val="32"/>
          <w:szCs w:val="32"/>
        </w:rPr>
      </w:pPr>
      <w:r>
        <w:rPr>
          <w:rFonts w:hint="eastAsia" w:ascii="楷体" w:hAnsi="楷体" w:eastAsia="楷体" w:cs="楷体"/>
          <w:sz w:val="32"/>
          <w:szCs w:val="32"/>
        </w:rPr>
        <w:t>（三）强化指导服务。</w:t>
      </w:r>
      <w:r>
        <w:rPr>
          <w:rFonts w:hint="eastAsia" w:ascii="仿宋" w:hAnsi="仿宋" w:eastAsia="仿宋" w:cs="仿宋"/>
          <w:sz w:val="32"/>
          <w:szCs w:val="32"/>
        </w:rPr>
        <w:t>区农</w:t>
      </w:r>
      <w:r>
        <w:rPr>
          <w:rFonts w:hint="eastAsia" w:ascii="仿宋" w:hAnsi="仿宋" w:eastAsia="仿宋" w:cs="仿宋"/>
          <w:sz w:val="32"/>
          <w:szCs w:val="32"/>
          <w:lang w:eastAsia="zh-CN"/>
        </w:rPr>
        <w:t>业</w:t>
      </w:r>
      <w:r>
        <w:rPr>
          <w:rFonts w:hint="eastAsia" w:ascii="仿宋" w:hAnsi="仿宋" w:eastAsia="仿宋" w:cs="仿宋"/>
          <w:sz w:val="32"/>
          <w:szCs w:val="32"/>
        </w:rPr>
        <w:t>技</w:t>
      </w:r>
      <w:r>
        <w:rPr>
          <w:rFonts w:hint="eastAsia" w:ascii="仿宋" w:hAnsi="仿宋" w:eastAsia="仿宋" w:cs="仿宋"/>
          <w:sz w:val="32"/>
          <w:szCs w:val="32"/>
          <w:lang w:eastAsia="zh-CN"/>
        </w:rPr>
        <w:t>术</w:t>
      </w:r>
      <w:r>
        <w:rPr>
          <w:rFonts w:hint="eastAsia" w:ascii="仿宋" w:hAnsi="仿宋" w:eastAsia="仿宋" w:cs="仿宋"/>
          <w:sz w:val="32"/>
          <w:szCs w:val="32"/>
        </w:rPr>
        <w:t>推广中心参照《武汉市油菜轮作</w:t>
      </w:r>
      <w:r>
        <w:rPr>
          <w:rFonts w:hint="eastAsia" w:ascii="仿宋" w:hAnsi="仿宋" w:eastAsia="仿宋" w:cs="仿宋"/>
          <w:sz w:val="32"/>
          <w:szCs w:val="32"/>
          <w:lang w:eastAsia="zh-CN"/>
        </w:rPr>
        <w:t>示范项目</w:t>
      </w:r>
      <w:r>
        <w:rPr>
          <w:rFonts w:hint="eastAsia" w:ascii="仿宋" w:hAnsi="仿宋" w:eastAsia="仿宋" w:cs="仿宋"/>
          <w:sz w:val="32"/>
          <w:szCs w:val="32"/>
        </w:rPr>
        <w:t>技术措施》，组织专家制定完善技术指导意见，示范推广新品种、新技术、新产品和油菜高产高效技术模式，</w:t>
      </w:r>
      <w:r>
        <w:rPr>
          <w:rFonts w:hint="eastAsia" w:ascii="仿宋" w:hAnsi="仿宋" w:eastAsia="仿宋" w:cs="仿宋"/>
          <w:sz w:val="32"/>
          <w:szCs w:val="32"/>
          <w:lang w:eastAsia="zh-CN"/>
        </w:rPr>
        <w:t>加强关键农时和灾害天气技术指导，及时组织专家和农技人员深入生产一线</w:t>
      </w:r>
      <w:r>
        <w:rPr>
          <w:rFonts w:hint="eastAsia" w:ascii="仿宋" w:hAnsi="仿宋" w:eastAsia="仿宋" w:cs="仿宋"/>
          <w:sz w:val="32"/>
          <w:szCs w:val="32"/>
        </w:rPr>
        <w:t>开展</w:t>
      </w:r>
      <w:r>
        <w:rPr>
          <w:rFonts w:hint="eastAsia" w:ascii="仿宋" w:hAnsi="仿宋" w:eastAsia="仿宋" w:cs="仿宋"/>
          <w:sz w:val="32"/>
          <w:szCs w:val="32"/>
          <w:lang w:eastAsia="zh-CN"/>
        </w:rPr>
        <w:t>巡回指导或</w:t>
      </w:r>
      <w:r>
        <w:rPr>
          <w:rFonts w:hint="eastAsia" w:ascii="仿宋" w:hAnsi="仿宋" w:eastAsia="仿宋" w:cs="仿宋"/>
          <w:sz w:val="32"/>
          <w:szCs w:val="32"/>
        </w:rPr>
        <w:t>培训。</w:t>
      </w:r>
    </w:p>
    <w:p>
      <w:pPr>
        <w:spacing w:line="600" w:lineRule="exact"/>
        <w:ind w:firstLine="646" w:firstLineChars="200"/>
        <w:rPr>
          <w:rFonts w:ascii="仿宋" w:hAnsi="仿宋" w:eastAsia="仿宋" w:cs="仿宋"/>
          <w:sz w:val="32"/>
          <w:szCs w:val="32"/>
        </w:rPr>
      </w:pPr>
      <w:r>
        <w:rPr>
          <w:rFonts w:hint="eastAsia" w:ascii="楷体" w:hAnsi="楷体" w:eastAsia="楷体" w:cs="楷体"/>
          <w:sz w:val="32"/>
          <w:szCs w:val="32"/>
        </w:rPr>
        <w:t>（四）加强监督检查。</w:t>
      </w:r>
      <w:r>
        <w:rPr>
          <w:rFonts w:hint="eastAsia" w:ascii="仿宋" w:hAnsi="仿宋" w:eastAsia="仿宋" w:cs="仿宋"/>
          <w:sz w:val="32"/>
          <w:szCs w:val="32"/>
          <w:lang w:eastAsia="zh-CN"/>
        </w:rPr>
        <w:t>区农业技术推广中心</w:t>
      </w:r>
      <w:r>
        <w:rPr>
          <w:rFonts w:hint="eastAsia" w:ascii="仿宋" w:hAnsi="仿宋" w:eastAsia="仿宋" w:cs="仿宋"/>
          <w:sz w:val="32"/>
          <w:szCs w:val="32"/>
        </w:rPr>
        <w:t>要加强指导督办、监督检查，确保任务落实。</w:t>
      </w:r>
      <w:r>
        <w:rPr>
          <w:rFonts w:hint="eastAsia" w:ascii="仿宋" w:hAnsi="仿宋" w:eastAsia="仿宋" w:cs="仿宋"/>
          <w:sz w:val="32"/>
          <w:szCs w:val="32"/>
          <w:lang w:eastAsia="zh-CN"/>
        </w:rPr>
        <w:t>要</w:t>
      </w:r>
      <w:r>
        <w:rPr>
          <w:rFonts w:hint="eastAsia" w:ascii="仿宋" w:hAnsi="仿宋" w:eastAsia="仿宋" w:cs="仿宋"/>
          <w:sz w:val="32"/>
          <w:szCs w:val="32"/>
        </w:rPr>
        <w:t>强化绩效</w:t>
      </w:r>
      <w:r>
        <w:rPr>
          <w:rFonts w:hint="eastAsia" w:ascii="仿宋" w:hAnsi="仿宋" w:eastAsia="仿宋" w:cs="仿宋"/>
          <w:sz w:val="32"/>
          <w:szCs w:val="32"/>
          <w:lang w:eastAsia="zh-CN"/>
        </w:rPr>
        <w:t>评价</w:t>
      </w:r>
      <w:r>
        <w:rPr>
          <w:rFonts w:hint="eastAsia" w:ascii="仿宋" w:hAnsi="仿宋" w:eastAsia="仿宋" w:cs="仿宋"/>
          <w:sz w:val="32"/>
          <w:szCs w:val="32"/>
        </w:rPr>
        <w:t>，加强项目资料、资金台账专项管理。</w:t>
      </w:r>
    </w:p>
    <w:p>
      <w:pPr>
        <w:spacing w:line="600" w:lineRule="exact"/>
        <w:ind w:firstLine="646" w:firstLineChars="200"/>
        <w:rPr>
          <w:rFonts w:hint="eastAsia" w:ascii="仿宋" w:hAnsi="仿宋" w:eastAsia="仿宋" w:cs="仿宋"/>
          <w:sz w:val="32"/>
          <w:szCs w:val="32"/>
        </w:rPr>
      </w:pPr>
      <w:r>
        <w:rPr>
          <w:rFonts w:hint="eastAsia" w:ascii="楷体" w:hAnsi="楷体" w:eastAsia="楷体" w:cs="楷体"/>
          <w:sz w:val="32"/>
          <w:szCs w:val="32"/>
        </w:rPr>
        <w:t>（五）强化风险防控。</w:t>
      </w:r>
      <w:r>
        <w:rPr>
          <w:rFonts w:hint="eastAsia" w:ascii="仿宋" w:hAnsi="仿宋" w:eastAsia="仿宋" w:cs="仿宋"/>
          <w:sz w:val="32"/>
          <w:szCs w:val="32"/>
          <w:lang w:eastAsia="zh-CN"/>
        </w:rPr>
        <w:t>区农业技术推广中心</w:t>
      </w:r>
      <w:r>
        <w:rPr>
          <w:rFonts w:hint="eastAsia" w:ascii="仿宋" w:hAnsi="仿宋" w:eastAsia="仿宋" w:cs="仿宋"/>
          <w:sz w:val="32"/>
          <w:szCs w:val="32"/>
        </w:rPr>
        <w:t>要</w:t>
      </w:r>
      <w:r>
        <w:rPr>
          <w:rFonts w:hint="eastAsia" w:ascii="仿宋" w:hAnsi="仿宋" w:eastAsia="仿宋" w:cs="仿宋"/>
          <w:sz w:val="32"/>
          <w:szCs w:val="32"/>
          <w:lang w:eastAsia="zh-CN"/>
        </w:rPr>
        <w:t>完善监督机制，</w:t>
      </w:r>
      <w:r>
        <w:rPr>
          <w:rFonts w:hint="eastAsia" w:ascii="仿宋" w:hAnsi="仿宋" w:eastAsia="仿宋" w:cs="仿宋"/>
          <w:sz w:val="32"/>
          <w:szCs w:val="32"/>
        </w:rPr>
        <w:t>严格政府采购程序和采购纪律，阳光操作。纳入政府采购的物资供应商和农机作业服务主体，均应与采购方签订合同，对提供产品不达标的供应商，要及时查处并纳入政府采购黑名单。不得自行扩大或缩小实施任务使补贴标准打折，不得将项目补贴资金统筹用于其他行业，当年资金要尽可能用于当年，确保不引发政策性攀比，确保专款专用和资金安全，确保任务落实。区</w:t>
      </w:r>
      <w:r>
        <w:rPr>
          <w:rFonts w:hint="eastAsia" w:ascii="仿宋" w:hAnsi="仿宋" w:eastAsia="仿宋" w:cs="仿宋"/>
          <w:sz w:val="32"/>
          <w:szCs w:val="32"/>
          <w:lang w:eastAsia="zh-CN"/>
        </w:rPr>
        <w:t>农业技术推广中心</w:t>
      </w:r>
      <w:r>
        <w:rPr>
          <w:rFonts w:hint="eastAsia" w:ascii="仿宋" w:hAnsi="仿宋" w:eastAsia="仿宋" w:cs="仿宋"/>
          <w:sz w:val="32"/>
          <w:szCs w:val="32"/>
        </w:rPr>
        <w:t>和项目任务街</w:t>
      </w:r>
      <w:r>
        <w:rPr>
          <w:rFonts w:hint="eastAsia" w:ascii="仿宋" w:hAnsi="仿宋" w:eastAsia="仿宋" w:cs="仿宋"/>
          <w:sz w:val="32"/>
          <w:szCs w:val="32"/>
          <w:lang w:eastAsia="zh-CN"/>
        </w:rPr>
        <w:t>道（办事处）</w:t>
      </w:r>
      <w:r>
        <w:rPr>
          <w:rFonts w:hint="eastAsia" w:ascii="仿宋" w:hAnsi="仿宋" w:eastAsia="仿宋" w:cs="仿宋"/>
          <w:sz w:val="32"/>
          <w:szCs w:val="32"/>
        </w:rPr>
        <w:t>要做好有关文档资料的整理归档工作，档案保存期限为10年。</w:t>
      </w:r>
    </w:p>
    <w:p>
      <w:pPr>
        <w:spacing w:line="600" w:lineRule="exact"/>
        <w:ind w:firstLine="646" w:firstLineChars="200"/>
        <w:rPr>
          <w:rFonts w:hint="default" w:ascii="楷体" w:hAnsi="楷体" w:eastAsia="楷体" w:cs="楷体"/>
          <w:sz w:val="32"/>
          <w:szCs w:val="32"/>
          <w:lang w:val="en-US" w:eastAsia="zh-CN"/>
        </w:rPr>
      </w:pPr>
      <w:r>
        <w:rPr>
          <w:rFonts w:hint="eastAsia" w:ascii="楷体" w:hAnsi="楷体" w:eastAsia="楷体" w:cs="楷体"/>
          <w:sz w:val="32"/>
          <w:szCs w:val="32"/>
        </w:rPr>
        <w:t>（六）</w:t>
      </w:r>
      <w:r>
        <w:rPr>
          <w:rFonts w:hint="eastAsia" w:ascii="楷体" w:hAnsi="楷体" w:eastAsia="楷体" w:cs="楷体"/>
          <w:sz w:val="32"/>
          <w:szCs w:val="32"/>
          <w:lang w:eastAsia="zh-CN"/>
        </w:rPr>
        <w:t>资金计划。</w:t>
      </w:r>
    </w:p>
    <w:p>
      <w:pPr>
        <w:numPr>
          <w:ilvl w:val="0"/>
          <w:numId w:val="0"/>
        </w:numPr>
        <w:jc w:val="center"/>
        <w:rPr>
          <w:rFonts w:hint="eastAsia"/>
          <w:sz w:val="32"/>
          <w:szCs w:val="32"/>
          <w:lang w:val="en-US" w:eastAsia="zh-CN"/>
        </w:rPr>
      </w:pPr>
      <w:r>
        <w:rPr>
          <w:rFonts w:hint="eastAsia" w:ascii="黑体" w:hAnsi="黑体" w:eastAsia="黑体" w:cs="黑体"/>
          <w:sz w:val="32"/>
          <w:szCs w:val="32"/>
          <w:lang w:val="en-US" w:eastAsia="zh-CN"/>
        </w:rPr>
        <w:t>2025年江夏区油菜轮作示范资金计划表</w:t>
      </w:r>
    </w:p>
    <w:p>
      <w:pPr>
        <w:numPr>
          <w:ilvl w:val="0"/>
          <w:numId w:val="0"/>
        </w:numPr>
        <w:ind w:firstLine="5751" w:firstLineChars="2700"/>
        <w:rPr>
          <w:rFonts w:hint="default"/>
          <w:lang w:val="en-US" w:eastAsia="zh-CN"/>
        </w:rPr>
      </w:pPr>
      <w:r>
        <w:rPr>
          <w:rFonts w:hint="eastAsia"/>
          <w:lang w:val="en-US" w:eastAsia="zh-CN"/>
        </w:rPr>
        <w:t>亩、万元、斤、吨、袋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904"/>
        <w:gridCol w:w="1009"/>
        <w:gridCol w:w="1211"/>
        <w:gridCol w:w="147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pPr>
              <w:numPr>
                <w:ilvl w:val="0"/>
                <w:numId w:val="0"/>
              </w:numPr>
              <w:jc w:val="center"/>
              <w:rPr>
                <w:rFonts w:hint="default"/>
                <w:vertAlign w:val="baseline"/>
                <w:lang w:val="en-US" w:eastAsia="zh-CN"/>
              </w:rPr>
            </w:pPr>
            <w:r>
              <w:rPr>
                <w:rFonts w:hint="eastAsia"/>
                <w:vertAlign w:val="baseline"/>
                <w:lang w:val="en-US" w:eastAsia="zh-CN"/>
              </w:rPr>
              <w:t>序号</w:t>
            </w:r>
          </w:p>
        </w:tc>
        <w:tc>
          <w:tcPr>
            <w:tcW w:w="1904" w:type="dxa"/>
            <w:vAlign w:val="center"/>
          </w:tcPr>
          <w:p>
            <w:pPr>
              <w:numPr>
                <w:ilvl w:val="0"/>
                <w:numId w:val="0"/>
              </w:numPr>
              <w:jc w:val="center"/>
              <w:rPr>
                <w:rFonts w:hint="default"/>
                <w:vertAlign w:val="baseline"/>
                <w:lang w:val="en-US" w:eastAsia="zh-CN"/>
              </w:rPr>
            </w:pPr>
            <w:r>
              <w:rPr>
                <w:rFonts w:hint="eastAsia"/>
                <w:vertAlign w:val="baseline"/>
                <w:lang w:val="en-US" w:eastAsia="zh-CN"/>
              </w:rPr>
              <w:t>采购内容</w:t>
            </w:r>
          </w:p>
        </w:tc>
        <w:tc>
          <w:tcPr>
            <w:tcW w:w="1009" w:type="dxa"/>
            <w:vAlign w:val="center"/>
          </w:tcPr>
          <w:p>
            <w:pPr>
              <w:numPr>
                <w:ilvl w:val="0"/>
                <w:numId w:val="0"/>
              </w:numPr>
              <w:jc w:val="center"/>
              <w:rPr>
                <w:rFonts w:hint="default"/>
                <w:vertAlign w:val="baseline"/>
                <w:lang w:val="en-US" w:eastAsia="zh-CN"/>
              </w:rPr>
            </w:pPr>
            <w:r>
              <w:rPr>
                <w:rFonts w:hint="eastAsia"/>
                <w:vertAlign w:val="baseline"/>
                <w:lang w:val="en-US" w:eastAsia="zh-CN"/>
              </w:rPr>
              <w:t>数量</w:t>
            </w:r>
          </w:p>
        </w:tc>
        <w:tc>
          <w:tcPr>
            <w:tcW w:w="1211" w:type="dxa"/>
            <w:vAlign w:val="center"/>
          </w:tcPr>
          <w:p>
            <w:pPr>
              <w:numPr>
                <w:ilvl w:val="0"/>
                <w:numId w:val="0"/>
              </w:numPr>
              <w:jc w:val="center"/>
              <w:rPr>
                <w:rFonts w:hint="default"/>
                <w:vertAlign w:val="baseline"/>
                <w:lang w:val="en-US" w:eastAsia="zh-CN"/>
              </w:rPr>
            </w:pPr>
            <w:r>
              <w:rPr>
                <w:rFonts w:hint="eastAsia"/>
                <w:vertAlign w:val="baseline"/>
                <w:lang w:val="en-US" w:eastAsia="zh-CN"/>
              </w:rPr>
              <w:t>单价</w:t>
            </w:r>
          </w:p>
        </w:tc>
        <w:tc>
          <w:tcPr>
            <w:tcW w:w="1474" w:type="dxa"/>
            <w:vAlign w:val="center"/>
          </w:tcPr>
          <w:p>
            <w:pPr>
              <w:numPr>
                <w:ilvl w:val="0"/>
                <w:numId w:val="0"/>
              </w:numPr>
              <w:jc w:val="center"/>
              <w:rPr>
                <w:rFonts w:hint="default"/>
                <w:vertAlign w:val="baseline"/>
                <w:lang w:val="en-US" w:eastAsia="zh-CN"/>
              </w:rPr>
            </w:pPr>
            <w:r>
              <w:rPr>
                <w:rFonts w:hint="eastAsia"/>
                <w:vertAlign w:val="baseline"/>
                <w:lang w:val="en-US" w:eastAsia="zh-CN"/>
              </w:rPr>
              <w:t>金额</w:t>
            </w:r>
          </w:p>
        </w:tc>
        <w:tc>
          <w:tcPr>
            <w:tcW w:w="1247" w:type="dxa"/>
            <w:vAlign w:val="center"/>
          </w:tcPr>
          <w:p>
            <w:pPr>
              <w:numPr>
                <w:ilvl w:val="0"/>
                <w:numId w:val="0"/>
              </w:numPr>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pPr>
              <w:numPr>
                <w:ilvl w:val="0"/>
                <w:numId w:val="0"/>
              </w:numPr>
              <w:jc w:val="center"/>
              <w:rPr>
                <w:rFonts w:hint="default"/>
                <w:vertAlign w:val="baseline"/>
                <w:lang w:val="en-US" w:eastAsia="zh-CN"/>
              </w:rPr>
            </w:pPr>
            <w:r>
              <w:rPr>
                <w:rFonts w:hint="eastAsia"/>
                <w:vertAlign w:val="baseline"/>
                <w:lang w:val="en-US" w:eastAsia="zh-CN"/>
              </w:rPr>
              <w:t>1</w:t>
            </w:r>
          </w:p>
        </w:tc>
        <w:tc>
          <w:tcPr>
            <w:tcW w:w="1904" w:type="dxa"/>
            <w:vAlign w:val="center"/>
          </w:tcPr>
          <w:p>
            <w:pPr>
              <w:numPr>
                <w:ilvl w:val="0"/>
                <w:numId w:val="0"/>
              </w:numPr>
              <w:jc w:val="center"/>
              <w:rPr>
                <w:rFonts w:hint="default"/>
                <w:vertAlign w:val="baseline"/>
                <w:lang w:val="en-US" w:eastAsia="zh-CN"/>
              </w:rPr>
            </w:pPr>
            <w:r>
              <w:rPr>
                <w:rFonts w:hint="eastAsia"/>
                <w:vertAlign w:val="baseline"/>
                <w:lang w:val="en-US" w:eastAsia="zh-CN"/>
              </w:rPr>
              <w:t>机械作业</w:t>
            </w:r>
          </w:p>
        </w:tc>
        <w:tc>
          <w:tcPr>
            <w:tcW w:w="1009" w:type="dxa"/>
            <w:vAlign w:val="center"/>
          </w:tcPr>
          <w:p>
            <w:pPr>
              <w:numPr>
                <w:ilvl w:val="0"/>
                <w:numId w:val="0"/>
              </w:numPr>
              <w:jc w:val="center"/>
              <w:rPr>
                <w:rFonts w:hint="default"/>
                <w:vertAlign w:val="baseline"/>
                <w:lang w:val="en-US" w:eastAsia="zh-CN"/>
              </w:rPr>
            </w:pPr>
            <w:r>
              <w:rPr>
                <w:rFonts w:hint="eastAsia"/>
                <w:vertAlign w:val="baseline"/>
                <w:lang w:val="en-US" w:eastAsia="zh-CN"/>
              </w:rPr>
              <w:t>8000亩</w:t>
            </w:r>
          </w:p>
        </w:tc>
        <w:tc>
          <w:tcPr>
            <w:tcW w:w="1211" w:type="dxa"/>
            <w:vAlign w:val="center"/>
          </w:tcPr>
          <w:p>
            <w:pPr>
              <w:numPr>
                <w:ilvl w:val="0"/>
                <w:numId w:val="0"/>
              </w:numPr>
              <w:jc w:val="center"/>
              <w:rPr>
                <w:rFonts w:hint="default"/>
                <w:vertAlign w:val="baseline"/>
                <w:lang w:val="en-US" w:eastAsia="zh-CN"/>
              </w:rPr>
            </w:pPr>
            <w:r>
              <w:rPr>
                <w:rFonts w:hint="eastAsia"/>
                <w:vertAlign w:val="baseline"/>
                <w:lang w:val="en-US" w:eastAsia="zh-CN"/>
              </w:rPr>
              <w:t>68.75元</w:t>
            </w:r>
          </w:p>
        </w:tc>
        <w:tc>
          <w:tcPr>
            <w:tcW w:w="1474" w:type="dxa"/>
            <w:vAlign w:val="center"/>
          </w:tcPr>
          <w:p>
            <w:pPr>
              <w:numPr>
                <w:ilvl w:val="0"/>
                <w:numId w:val="0"/>
              </w:numPr>
              <w:jc w:val="center"/>
              <w:rPr>
                <w:rFonts w:hint="default"/>
                <w:vertAlign w:val="baseline"/>
                <w:lang w:val="en-US" w:eastAsia="zh-CN"/>
              </w:rPr>
            </w:pPr>
            <w:r>
              <w:rPr>
                <w:rFonts w:hint="eastAsia"/>
                <w:vertAlign w:val="baseline"/>
                <w:lang w:val="en-US" w:eastAsia="zh-CN"/>
              </w:rPr>
              <w:t>55万</w:t>
            </w:r>
          </w:p>
        </w:tc>
        <w:tc>
          <w:tcPr>
            <w:tcW w:w="1247" w:type="dxa"/>
            <w:vAlign w:val="center"/>
          </w:tcPr>
          <w:p>
            <w:pPr>
              <w:numPr>
                <w:ilvl w:val="0"/>
                <w:numId w:val="0"/>
              </w:num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pPr>
              <w:numPr>
                <w:ilvl w:val="0"/>
                <w:numId w:val="0"/>
              </w:numPr>
              <w:jc w:val="center"/>
              <w:rPr>
                <w:rFonts w:hint="default"/>
                <w:vertAlign w:val="baseline"/>
                <w:lang w:val="en-US" w:eastAsia="zh-CN"/>
              </w:rPr>
            </w:pPr>
            <w:r>
              <w:rPr>
                <w:rFonts w:hint="eastAsia"/>
                <w:vertAlign w:val="baseline"/>
                <w:lang w:val="en-US" w:eastAsia="zh-CN"/>
              </w:rPr>
              <w:t>2</w:t>
            </w:r>
          </w:p>
        </w:tc>
        <w:tc>
          <w:tcPr>
            <w:tcW w:w="1904" w:type="dxa"/>
            <w:vAlign w:val="center"/>
          </w:tcPr>
          <w:p>
            <w:pPr>
              <w:numPr>
                <w:ilvl w:val="0"/>
                <w:numId w:val="0"/>
              </w:numPr>
              <w:jc w:val="center"/>
              <w:rPr>
                <w:rFonts w:hint="default"/>
                <w:vertAlign w:val="baseline"/>
                <w:lang w:val="en-US" w:eastAsia="zh-CN"/>
              </w:rPr>
            </w:pPr>
            <w:r>
              <w:rPr>
                <w:rFonts w:hint="eastAsia"/>
                <w:vertAlign w:val="baseline"/>
                <w:lang w:val="en-US" w:eastAsia="zh-CN"/>
              </w:rPr>
              <w:t>油菜种子</w:t>
            </w:r>
          </w:p>
        </w:tc>
        <w:tc>
          <w:tcPr>
            <w:tcW w:w="1009" w:type="dxa"/>
            <w:vAlign w:val="center"/>
          </w:tcPr>
          <w:p>
            <w:pPr>
              <w:numPr>
                <w:ilvl w:val="0"/>
                <w:numId w:val="0"/>
              </w:numPr>
              <w:jc w:val="center"/>
              <w:rPr>
                <w:rFonts w:hint="default"/>
                <w:vertAlign w:val="baseline"/>
                <w:lang w:val="en-US" w:eastAsia="zh-CN"/>
              </w:rPr>
            </w:pPr>
            <w:r>
              <w:rPr>
                <w:rFonts w:hint="eastAsia"/>
                <w:vertAlign w:val="baseline"/>
                <w:lang w:val="en-US" w:eastAsia="zh-CN"/>
              </w:rPr>
              <w:t>6400斤</w:t>
            </w:r>
          </w:p>
        </w:tc>
        <w:tc>
          <w:tcPr>
            <w:tcW w:w="1211" w:type="dxa"/>
            <w:vAlign w:val="center"/>
          </w:tcPr>
          <w:p>
            <w:pPr>
              <w:numPr>
                <w:ilvl w:val="0"/>
                <w:numId w:val="0"/>
              </w:numPr>
              <w:jc w:val="center"/>
              <w:rPr>
                <w:rFonts w:hint="default"/>
                <w:vertAlign w:val="baseline"/>
                <w:lang w:val="en-US" w:eastAsia="zh-CN"/>
              </w:rPr>
            </w:pPr>
            <w:r>
              <w:rPr>
                <w:rFonts w:hint="eastAsia"/>
                <w:vertAlign w:val="baseline"/>
                <w:lang w:val="en-US" w:eastAsia="zh-CN"/>
              </w:rPr>
              <w:t>26元</w:t>
            </w:r>
          </w:p>
        </w:tc>
        <w:tc>
          <w:tcPr>
            <w:tcW w:w="1474" w:type="dxa"/>
            <w:vAlign w:val="center"/>
          </w:tcPr>
          <w:p>
            <w:pPr>
              <w:numPr>
                <w:ilvl w:val="0"/>
                <w:numId w:val="0"/>
              </w:numPr>
              <w:jc w:val="center"/>
              <w:rPr>
                <w:rFonts w:hint="default"/>
                <w:vertAlign w:val="baseline"/>
                <w:lang w:val="en-US" w:eastAsia="zh-CN"/>
              </w:rPr>
            </w:pPr>
            <w:r>
              <w:rPr>
                <w:rFonts w:hint="eastAsia"/>
                <w:vertAlign w:val="baseline"/>
                <w:lang w:val="en-US" w:eastAsia="zh-CN"/>
              </w:rPr>
              <w:t>16.64万</w:t>
            </w:r>
          </w:p>
        </w:tc>
        <w:tc>
          <w:tcPr>
            <w:tcW w:w="1247" w:type="dxa"/>
            <w:vAlign w:val="center"/>
          </w:tcPr>
          <w:p>
            <w:pPr>
              <w:numPr>
                <w:ilvl w:val="0"/>
                <w:numId w:val="0"/>
              </w:num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pPr>
              <w:numPr>
                <w:ilvl w:val="0"/>
                <w:numId w:val="0"/>
              </w:numPr>
              <w:jc w:val="center"/>
              <w:rPr>
                <w:rFonts w:hint="default"/>
                <w:vertAlign w:val="baseline"/>
                <w:lang w:val="en-US" w:eastAsia="zh-CN"/>
              </w:rPr>
            </w:pPr>
            <w:r>
              <w:rPr>
                <w:rFonts w:hint="eastAsia"/>
                <w:vertAlign w:val="baseline"/>
                <w:lang w:val="en-US" w:eastAsia="zh-CN"/>
              </w:rPr>
              <w:t>3</w:t>
            </w:r>
          </w:p>
        </w:tc>
        <w:tc>
          <w:tcPr>
            <w:tcW w:w="1904" w:type="dxa"/>
            <w:vAlign w:val="center"/>
          </w:tcPr>
          <w:p>
            <w:pPr>
              <w:numPr>
                <w:ilvl w:val="0"/>
                <w:numId w:val="0"/>
              </w:numPr>
              <w:jc w:val="center"/>
              <w:rPr>
                <w:rFonts w:hint="default"/>
                <w:vertAlign w:val="baseline"/>
                <w:lang w:val="en-US" w:eastAsia="zh-CN"/>
              </w:rPr>
            </w:pPr>
            <w:r>
              <w:rPr>
                <w:rFonts w:hint="eastAsia"/>
                <w:vertAlign w:val="baseline"/>
                <w:lang w:val="en-US" w:eastAsia="zh-CN"/>
              </w:rPr>
              <w:t>肥料</w:t>
            </w:r>
          </w:p>
        </w:tc>
        <w:tc>
          <w:tcPr>
            <w:tcW w:w="1009" w:type="dxa"/>
            <w:vAlign w:val="center"/>
          </w:tcPr>
          <w:p>
            <w:pPr>
              <w:numPr>
                <w:ilvl w:val="0"/>
                <w:numId w:val="0"/>
              </w:numPr>
              <w:jc w:val="center"/>
              <w:rPr>
                <w:rFonts w:hint="default"/>
                <w:vertAlign w:val="baseline"/>
                <w:lang w:val="en-US" w:eastAsia="zh-CN"/>
              </w:rPr>
            </w:pPr>
            <w:r>
              <w:rPr>
                <w:rFonts w:hint="eastAsia"/>
                <w:vertAlign w:val="baseline"/>
                <w:lang w:val="en-US" w:eastAsia="zh-CN"/>
              </w:rPr>
              <w:t>160吨</w:t>
            </w:r>
          </w:p>
        </w:tc>
        <w:tc>
          <w:tcPr>
            <w:tcW w:w="1211" w:type="dxa"/>
            <w:vAlign w:val="center"/>
          </w:tcPr>
          <w:p>
            <w:pPr>
              <w:numPr>
                <w:ilvl w:val="0"/>
                <w:numId w:val="0"/>
              </w:numPr>
              <w:jc w:val="center"/>
              <w:rPr>
                <w:rFonts w:hint="default"/>
                <w:vertAlign w:val="baseline"/>
                <w:lang w:val="en-US" w:eastAsia="zh-CN"/>
              </w:rPr>
            </w:pPr>
            <w:r>
              <w:rPr>
                <w:rFonts w:hint="eastAsia"/>
                <w:vertAlign w:val="baseline"/>
                <w:lang w:val="en-US" w:eastAsia="zh-CN"/>
              </w:rPr>
              <w:t>2150元</w:t>
            </w:r>
          </w:p>
        </w:tc>
        <w:tc>
          <w:tcPr>
            <w:tcW w:w="1474" w:type="dxa"/>
            <w:vAlign w:val="center"/>
          </w:tcPr>
          <w:p>
            <w:pPr>
              <w:numPr>
                <w:ilvl w:val="0"/>
                <w:numId w:val="0"/>
              </w:numPr>
              <w:jc w:val="center"/>
              <w:rPr>
                <w:rFonts w:hint="default"/>
                <w:vertAlign w:val="baseline"/>
                <w:lang w:val="en-US" w:eastAsia="zh-CN"/>
              </w:rPr>
            </w:pPr>
            <w:r>
              <w:rPr>
                <w:rFonts w:hint="eastAsia"/>
                <w:vertAlign w:val="baseline"/>
                <w:lang w:val="en-US" w:eastAsia="zh-CN"/>
              </w:rPr>
              <w:t>34.4万</w:t>
            </w:r>
          </w:p>
        </w:tc>
        <w:tc>
          <w:tcPr>
            <w:tcW w:w="1247" w:type="dxa"/>
            <w:vAlign w:val="center"/>
          </w:tcPr>
          <w:p>
            <w:pPr>
              <w:numPr>
                <w:ilvl w:val="0"/>
                <w:numId w:val="0"/>
              </w:num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1904" w:type="dxa"/>
            <w:vAlign w:val="center"/>
          </w:tcPr>
          <w:p>
            <w:pPr>
              <w:numPr>
                <w:ilvl w:val="0"/>
                <w:numId w:val="0"/>
              </w:numPr>
              <w:jc w:val="center"/>
              <w:rPr>
                <w:rFonts w:hint="default"/>
                <w:vertAlign w:val="baseline"/>
                <w:lang w:val="en-US" w:eastAsia="zh-CN"/>
              </w:rPr>
            </w:pPr>
            <w:r>
              <w:rPr>
                <w:rFonts w:hint="default"/>
                <w:vertAlign w:val="baseline"/>
                <w:lang w:val="en-US" w:eastAsia="zh-CN"/>
              </w:rPr>
              <w:t>海藻磷钾</w:t>
            </w:r>
          </w:p>
        </w:tc>
        <w:tc>
          <w:tcPr>
            <w:tcW w:w="1009" w:type="dxa"/>
            <w:vAlign w:val="center"/>
          </w:tcPr>
          <w:p>
            <w:pPr>
              <w:numPr>
                <w:ilvl w:val="0"/>
                <w:numId w:val="0"/>
              </w:numPr>
              <w:jc w:val="center"/>
              <w:rPr>
                <w:rFonts w:hint="default"/>
                <w:vertAlign w:val="baseline"/>
                <w:lang w:val="en-US" w:eastAsia="zh-CN"/>
              </w:rPr>
            </w:pPr>
            <w:r>
              <w:rPr>
                <w:rFonts w:hint="eastAsia"/>
                <w:vertAlign w:val="baseline"/>
                <w:lang w:val="en-US" w:eastAsia="zh-CN"/>
              </w:rPr>
              <w:t>800瓶</w:t>
            </w:r>
          </w:p>
        </w:tc>
        <w:tc>
          <w:tcPr>
            <w:tcW w:w="1211" w:type="dxa"/>
            <w:vAlign w:val="center"/>
          </w:tcPr>
          <w:p>
            <w:pPr>
              <w:numPr>
                <w:ilvl w:val="0"/>
                <w:numId w:val="0"/>
              </w:numPr>
              <w:jc w:val="center"/>
              <w:rPr>
                <w:rFonts w:hint="default"/>
                <w:vertAlign w:val="baseline"/>
                <w:lang w:val="en-US" w:eastAsia="zh-CN"/>
              </w:rPr>
            </w:pPr>
            <w:r>
              <w:rPr>
                <w:rFonts w:hint="eastAsia"/>
                <w:vertAlign w:val="baseline"/>
                <w:lang w:val="en-US" w:eastAsia="zh-CN"/>
              </w:rPr>
              <w:t>68元</w:t>
            </w:r>
          </w:p>
        </w:tc>
        <w:tc>
          <w:tcPr>
            <w:tcW w:w="1474" w:type="dxa"/>
            <w:vAlign w:val="center"/>
          </w:tcPr>
          <w:p>
            <w:pPr>
              <w:numPr>
                <w:ilvl w:val="0"/>
                <w:numId w:val="0"/>
              </w:numPr>
              <w:jc w:val="center"/>
              <w:rPr>
                <w:rFonts w:hint="default"/>
                <w:vertAlign w:val="baseline"/>
                <w:lang w:val="en-US" w:eastAsia="zh-CN"/>
              </w:rPr>
            </w:pPr>
            <w:r>
              <w:rPr>
                <w:rFonts w:hint="eastAsia"/>
                <w:vertAlign w:val="baseline"/>
                <w:lang w:val="en-US" w:eastAsia="zh-CN"/>
              </w:rPr>
              <w:t>5.44万</w:t>
            </w:r>
          </w:p>
        </w:tc>
        <w:tc>
          <w:tcPr>
            <w:tcW w:w="1247" w:type="dxa"/>
            <w:vAlign w:val="center"/>
          </w:tcPr>
          <w:p>
            <w:pPr>
              <w:numPr>
                <w:ilvl w:val="0"/>
                <w:numId w:val="0"/>
              </w:num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numPr>
                <w:ilvl w:val="0"/>
                <w:numId w:val="0"/>
              </w:numPr>
              <w:jc w:val="center"/>
              <w:rPr>
                <w:rFonts w:hint="eastAsia"/>
                <w:vertAlign w:val="baseline"/>
                <w:lang w:val="en-US" w:eastAsia="zh-CN"/>
              </w:rPr>
            </w:pPr>
          </w:p>
        </w:tc>
        <w:tc>
          <w:tcPr>
            <w:tcW w:w="1904" w:type="dxa"/>
            <w:vAlign w:val="center"/>
          </w:tcPr>
          <w:p>
            <w:pPr>
              <w:numPr>
                <w:ilvl w:val="0"/>
                <w:numId w:val="0"/>
              </w:numPr>
              <w:jc w:val="center"/>
              <w:rPr>
                <w:rFonts w:hint="default"/>
                <w:vertAlign w:val="baseline"/>
                <w:lang w:val="en-US" w:eastAsia="zh-CN"/>
              </w:rPr>
            </w:pPr>
            <w:r>
              <w:rPr>
                <w:rFonts w:hint="default"/>
                <w:vertAlign w:val="baseline"/>
                <w:lang w:val="en-US" w:eastAsia="zh-CN"/>
              </w:rPr>
              <w:t>10％吡虫啉</w:t>
            </w:r>
          </w:p>
        </w:tc>
        <w:tc>
          <w:tcPr>
            <w:tcW w:w="1009" w:type="dxa"/>
            <w:vAlign w:val="center"/>
          </w:tcPr>
          <w:p>
            <w:pPr>
              <w:numPr>
                <w:ilvl w:val="0"/>
                <w:numId w:val="0"/>
              </w:numPr>
              <w:jc w:val="center"/>
              <w:rPr>
                <w:rFonts w:hint="default"/>
                <w:vertAlign w:val="baseline"/>
                <w:lang w:val="en-US" w:eastAsia="zh-CN"/>
              </w:rPr>
            </w:pPr>
            <w:r>
              <w:rPr>
                <w:rFonts w:hint="eastAsia"/>
                <w:vertAlign w:val="baseline"/>
                <w:lang w:val="en-US" w:eastAsia="zh-CN"/>
              </w:rPr>
              <w:t>8000袋</w:t>
            </w:r>
          </w:p>
        </w:tc>
        <w:tc>
          <w:tcPr>
            <w:tcW w:w="1211" w:type="dxa"/>
            <w:vAlign w:val="center"/>
          </w:tcPr>
          <w:p>
            <w:pPr>
              <w:numPr>
                <w:ilvl w:val="0"/>
                <w:numId w:val="0"/>
              </w:numPr>
              <w:jc w:val="center"/>
              <w:rPr>
                <w:rFonts w:hint="default"/>
                <w:vertAlign w:val="baseline"/>
                <w:lang w:val="en-US" w:eastAsia="zh-CN"/>
              </w:rPr>
            </w:pPr>
            <w:r>
              <w:rPr>
                <w:rFonts w:hint="eastAsia"/>
                <w:vertAlign w:val="baseline"/>
                <w:lang w:val="en-US" w:eastAsia="zh-CN"/>
              </w:rPr>
              <w:t>1.2元</w:t>
            </w:r>
          </w:p>
        </w:tc>
        <w:tc>
          <w:tcPr>
            <w:tcW w:w="1474" w:type="dxa"/>
            <w:vAlign w:val="center"/>
          </w:tcPr>
          <w:p>
            <w:pPr>
              <w:numPr>
                <w:ilvl w:val="0"/>
                <w:numId w:val="0"/>
              </w:numPr>
              <w:jc w:val="center"/>
              <w:rPr>
                <w:rFonts w:hint="default"/>
                <w:vertAlign w:val="baseline"/>
                <w:lang w:val="en-US" w:eastAsia="zh-CN"/>
              </w:rPr>
            </w:pPr>
            <w:r>
              <w:rPr>
                <w:rFonts w:hint="eastAsia"/>
                <w:vertAlign w:val="baseline"/>
                <w:lang w:val="en-US" w:eastAsia="zh-CN"/>
              </w:rPr>
              <w:t>0.96万</w:t>
            </w:r>
          </w:p>
        </w:tc>
        <w:tc>
          <w:tcPr>
            <w:tcW w:w="1247" w:type="dxa"/>
            <w:vAlign w:val="center"/>
          </w:tcPr>
          <w:p>
            <w:pPr>
              <w:numPr>
                <w:ilvl w:val="0"/>
                <w:numId w:val="0"/>
              </w:num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numPr>
                <w:ilvl w:val="0"/>
                <w:numId w:val="0"/>
              </w:numPr>
              <w:jc w:val="center"/>
              <w:rPr>
                <w:rFonts w:hint="eastAsia"/>
                <w:vertAlign w:val="baseline"/>
                <w:lang w:val="en-US" w:eastAsia="zh-CN"/>
              </w:rPr>
            </w:pPr>
          </w:p>
        </w:tc>
        <w:tc>
          <w:tcPr>
            <w:tcW w:w="1904" w:type="dxa"/>
            <w:vAlign w:val="center"/>
          </w:tcPr>
          <w:p>
            <w:pPr>
              <w:numPr>
                <w:ilvl w:val="0"/>
                <w:numId w:val="0"/>
              </w:numPr>
              <w:jc w:val="center"/>
              <w:rPr>
                <w:rFonts w:hint="default"/>
                <w:vertAlign w:val="baseline"/>
                <w:lang w:val="en-US" w:eastAsia="zh-CN"/>
              </w:rPr>
            </w:pPr>
            <w:r>
              <w:rPr>
                <w:rFonts w:hint="default"/>
                <w:vertAlign w:val="baseline"/>
                <w:lang w:val="en-US" w:eastAsia="zh-CN"/>
              </w:rPr>
              <w:t>40％戊唑咪鲜胺</w:t>
            </w:r>
          </w:p>
        </w:tc>
        <w:tc>
          <w:tcPr>
            <w:tcW w:w="1009" w:type="dxa"/>
            <w:vAlign w:val="center"/>
          </w:tcPr>
          <w:p>
            <w:pPr>
              <w:numPr>
                <w:ilvl w:val="0"/>
                <w:numId w:val="0"/>
              </w:numPr>
              <w:jc w:val="center"/>
              <w:rPr>
                <w:rFonts w:hint="default"/>
                <w:vertAlign w:val="baseline"/>
                <w:lang w:val="en-US" w:eastAsia="zh-CN"/>
              </w:rPr>
            </w:pPr>
            <w:r>
              <w:rPr>
                <w:rFonts w:hint="eastAsia"/>
                <w:vertAlign w:val="baseline"/>
                <w:lang w:val="en-US" w:eastAsia="zh-CN"/>
              </w:rPr>
              <w:t>1600瓶</w:t>
            </w:r>
          </w:p>
        </w:tc>
        <w:tc>
          <w:tcPr>
            <w:tcW w:w="1211" w:type="dxa"/>
            <w:vAlign w:val="center"/>
          </w:tcPr>
          <w:p>
            <w:pPr>
              <w:numPr>
                <w:ilvl w:val="0"/>
                <w:numId w:val="0"/>
              </w:numPr>
              <w:jc w:val="center"/>
              <w:rPr>
                <w:rFonts w:hint="default"/>
                <w:vertAlign w:val="baseline"/>
                <w:lang w:val="en-US" w:eastAsia="zh-CN"/>
              </w:rPr>
            </w:pPr>
            <w:r>
              <w:rPr>
                <w:rFonts w:hint="eastAsia"/>
                <w:vertAlign w:val="baseline"/>
                <w:lang w:val="en-US" w:eastAsia="zh-CN"/>
              </w:rPr>
              <w:t>30元</w:t>
            </w:r>
          </w:p>
        </w:tc>
        <w:tc>
          <w:tcPr>
            <w:tcW w:w="1474" w:type="dxa"/>
            <w:vAlign w:val="center"/>
          </w:tcPr>
          <w:p>
            <w:pPr>
              <w:numPr>
                <w:ilvl w:val="0"/>
                <w:numId w:val="0"/>
              </w:numPr>
              <w:jc w:val="center"/>
              <w:rPr>
                <w:rFonts w:hint="default"/>
                <w:vertAlign w:val="baseline"/>
                <w:lang w:val="en-US" w:eastAsia="zh-CN"/>
              </w:rPr>
            </w:pPr>
            <w:r>
              <w:rPr>
                <w:rFonts w:hint="eastAsia"/>
                <w:vertAlign w:val="baseline"/>
                <w:lang w:val="en-US" w:eastAsia="zh-CN"/>
              </w:rPr>
              <w:t>4.8万</w:t>
            </w:r>
          </w:p>
        </w:tc>
        <w:tc>
          <w:tcPr>
            <w:tcW w:w="1247" w:type="dxa"/>
            <w:vAlign w:val="center"/>
          </w:tcPr>
          <w:p>
            <w:pPr>
              <w:numPr>
                <w:ilvl w:val="0"/>
                <w:numId w:val="0"/>
              </w:num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numPr>
                <w:ilvl w:val="0"/>
                <w:numId w:val="0"/>
              </w:numPr>
              <w:jc w:val="center"/>
              <w:rPr>
                <w:rFonts w:hint="eastAsia"/>
                <w:vertAlign w:val="baseline"/>
                <w:lang w:val="en-US" w:eastAsia="zh-CN"/>
              </w:rPr>
            </w:pPr>
          </w:p>
        </w:tc>
        <w:tc>
          <w:tcPr>
            <w:tcW w:w="1904" w:type="dxa"/>
            <w:vAlign w:val="center"/>
          </w:tcPr>
          <w:p>
            <w:pPr>
              <w:numPr>
                <w:ilvl w:val="0"/>
                <w:numId w:val="0"/>
              </w:numPr>
              <w:jc w:val="center"/>
              <w:rPr>
                <w:rFonts w:hint="default"/>
                <w:vertAlign w:val="baseline"/>
                <w:lang w:val="en-US" w:eastAsia="zh-CN"/>
              </w:rPr>
            </w:pPr>
            <w:r>
              <w:rPr>
                <w:rFonts w:hint="default"/>
                <w:vertAlign w:val="baseline"/>
                <w:lang w:val="en-US" w:eastAsia="zh-CN"/>
              </w:rPr>
              <w:t>12％甲维虫螨蜻</w:t>
            </w:r>
          </w:p>
        </w:tc>
        <w:tc>
          <w:tcPr>
            <w:tcW w:w="1009" w:type="dxa"/>
            <w:vAlign w:val="center"/>
          </w:tcPr>
          <w:p>
            <w:pPr>
              <w:numPr>
                <w:ilvl w:val="0"/>
                <w:numId w:val="0"/>
              </w:numPr>
              <w:jc w:val="center"/>
              <w:rPr>
                <w:rFonts w:hint="default"/>
                <w:vertAlign w:val="baseline"/>
                <w:lang w:val="en-US" w:eastAsia="zh-CN"/>
              </w:rPr>
            </w:pPr>
            <w:r>
              <w:rPr>
                <w:rFonts w:hint="eastAsia"/>
                <w:vertAlign w:val="baseline"/>
                <w:lang w:val="en-US" w:eastAsia="zh-CN"/>
              </w:rPr>
              <w:t>400瓶</w:t>
            </w:r>
          </w:p>
        </w:tc>
        <w:tc>
          <w:tcPr>
            <w:tcW w:w="1211" w:type="dxa"/>
            <w:vAlign w:val="center"/>
          </w:tcPr>
          <w:p>
            <w:pPr>
              <w:numPr>
                <w:ilvl w:val="0"/>
                <w:numId w:val="0"/>
              </w:numPr>
              <w:jc w:val="center"/>
              <w:rPr>
                <w:rFonts w:hint="default"/>
                <w:vertAlign w:val="baseline"/>
                <w:lang w:val="en-US" w:eastAsia="zh-CN"/>
              </w:rPr>
            </w:pPr>
            <w:r>
              <w:rPr>
                <w:rFonts w:hint="eastAsia"/>
                <w:vertAlign w:val="baseline"/>
                <w:lang w:val="en-US" w:eastAsia="zh-CN"/>
              </w:rPr>
              <w:t>69元</w:t>
            </w:r>
          </w:p>
        </w:tc>
        <w:tc>
          <w:tcPr>
            <w:tcW w:w="1474" w:type="dxa"/>
            <w:vAlign w:val="center"/>
          </w:tcPr>
          <w:p>
            <w:pPr>
              <w:numPr>
                <w:ilvl w:val="0"/>
                <w:numId w:val="0"/>
              </w:numPr>
              <w:jc w:val="center"/>
              <w:rPr>
                <w:rFonts w:hint="default"/>
                <w:vertAlign w:val="baseline"/>
                <w:lang w:val="en-US" w:eastAsia="zh-CN"/>
              </w:rPr>
            </w:pPr>
            <w:r>
              <w:rPr>
                <w:rFonts w:hint="eastAsia"/>
                <w:vertAlign w:val="baseline"/>
                <w:lang w:val="en-US" w:eastAsia="zh-CN"/>
              </w:rPr>
              <w:t>2.76万</w:t>
            </w:r>
          </w:p>
        </w:tc>
        <w:tc>
          <w:tcPr>
            <w:tcW w:w="1247" w:type="dxa"/>
            <w:vAlign w:val="center"/>
          </w:tcPr>
          <w:p>
            <w:pPr>
              <w:numPr>
                <w:ilvl w:val="0"/>
                <w:numId w:val="0"/>
              </w:num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pPr>
              <w:numPr>
                <w:ilvl w:val="0"/>
                <w:numId w:val="0"/>
              </w:numPr>
              <w:jc w:val="center"/>
              <w:rPr>
                <w:rFonts w:hint="eastAsia"/>
                <w:vertAlign w:val="baseline"/>
                <w:lang w:val="en-US" w:eastAsia="zh-CN"/>
              </w:rPr>
            </w:pPr>
            <w:r>
              <w:rPr>
                <w:rFonts w:hint="eastAsia"/>
                <w:vertAlign w:val="baseline"/>
                <w:lang w:val="en-US" w:eastAsia="zh-CN"/>
              </w:rPr>
              <w:t>合计</w:t>
            </w:r>
          </w:p>
        </w:tc>
        <w:tc>
          <w:tcPr>
            <w:tcW w:w="4124" w:type="dxa"/>
            <w:gridSpan w:val="3"/>
            <w:vAlign w:val="center"/>
          </w:tcPr>
          <w:p>
            <w:pPr>
              <w:numPr>
                <w:ilvl w:val="0"/>
                <w:numId w:val="0"/>
              </w:numPr>
              <w:jc w:val="center"/>
              <w:rPr>
                <w:rFonts w:hint="default"/>
                <w:vertAlign w:val="baseline"/>
                <w:lang w:val="en-US" w:eastAsia="zh-CN"/>
              </w:rPr>
            </w:pPr>
          </w:p>
        </w:tc>
        <w:tc>
          <w:tcPr>
            <w:tcW w:w="1474" w:type="dxa"/>
            <w:vAlign w:val="center"/>
          </w:tcPr>
          <w:p>
            <w:pPr>
              <w:numPr>
                <w:ilvl w:val="0"/>
                <w:numId w:val="0"/>
              </w:numPr>
              <w:jc w:val="center"/>
              <w:rPr>
                <w:rFonts w:hint="default"/>
                <w:vertAlign w:val="baseline"/>
                <w:lang w:val="en-US" w:eastAsia="zh-CN"/>
              </w:rPr>
            </w:pPr>
            <w:r>
              <w:rPr>
                <w:rFonts w:hint="eastAsia"/>
                <w:vertAlign w:val="baseline"/>
                <w:lang w:val="en-US" w:eastAsia="zh-CN"/>
              </w:rPr>
              <w:t>120万</w:t>
            </w:r>
          </w:p>
        </w:tc>
        <w:tc>
          <w:tcPr>
            <w:tcW w:w="1247" w:type="dxa"/>
            <w:vAlign w:val="center"/>
          </w:tcPr>
          <w:p>
            <w:pPr>
              <w:numPr>
                <w:ilvl w:val="0"/>
                <w:numId w:val="0"/>
              </w:num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2" w:type="dxa"/>
            <w:gridSpan w:val="6"/>
            <w:vAlign w:val="center"/>
          </w:tcPr>
          <w:p>
            <w:pPr>
              <w:ind w:firstLine="566"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注：上表中单价根据市场价格了解后填写估算值，最终价格以实际政府采购为准；</w:t>
            </w:r>
          </w:p>
          <w:p>
            <w:pPr>
              <w:ind w:firstLine="566" w:firstLineChars="200"/>
              <w:rPr>
                <w:rFonts w:hint="eastAsia" w:ascii="仿宋" w:hAnsi="仿宋" w:eastAsia="仿宋" w:cs="仿宋"/>
                <w:sz w:val="28"/>
                <w:szCs w:val="28"/>
                <w:lang w:val="en-US" w:eastAsia="zh-CN"/>
              </w:rPr>
            </w:pPr>
          </w:p>
          <w:p>
            <w:pPr>
              <w:numPr>
                <w:ilvl w:val="0"/>
                <w:numId w:val="0"/>
              </w:numPr>
              <w:jc w:val="left"/>
              <w:rPr>
                <w:rFonts w:hint="default"/>
                <w:vertAlign w:val="baseline"/>
                <w:lang w:val="en-US" w:eastAsia="zh-CN"/>
              </w:rPr>
            </w:pPr>
          </w:p>
        </w:tc>
      </w:tr>
    </w:tbl>
    <w:p>
      <w:pPr>
        <w:spacing w:line="600" w:lineRule="exact"/>
        <w:ind w:firstLine="646" w:firstLineChars="200"/>
        <w:rPr>
          <w:rFonts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）做好总结宣传。</w:t>
      </w:r>
      <w:r>
        <w:rPr>
          <w:rFonts w:hint="eastAsia" w:ascii="仿宋" w:hAnsi="仿宋" w:eastAsia="仿宋" w:cs="仿宋"/>
          <w:sz w:val="32"/>
          <w:szCs w:val="32"/>
        </w:rPr>
        <w:t>按照资金、项目、招投标、管理、责任“五到区”的要求，</w:t>
      </w:r>
      <w:r>
        <w:rPr>
          <w:rFonts w:hint="eastAsia" w:ascii="仿宋" w:hAnsi="仿宋" w:eastAsia="仿宋" w:cs="仿宋"/>
          <w:sz w:val="32"/>
          <w:szCs w:val="32"/>
          <w:lang w:eastAsia="zh-CN"/>
        </w:rPr>
        <w:t>区农业技术推广中心</w:t>
      </w:r>
      <w:r>
        <w:rPr>
          <w:rFonts w:hint="eastAsia" w:ascii="仿宋" w:hAnsi="仿宋" w:eastAsia="仿宋" w:cs="仿宋"/>
          <w:sz w:val="32"/>
          <w:szCs w:val="32"/>
        </w:rPr>
        <w:t>要对市级油菜轮作试点示范项目工作进行年度绩效评价和总结，于2025年12月15日前形成年度总结报告，报市油菜轮作试点示范项目主管机构。</w:t>
      </w:r>
    </w:p>
    <w:p>
      <w:pPr>
        <w:spacing w:line="600" w:lineRule="exact"/>
        <w:ind w:firstLine="622" w:firstLineChars="200"/>
        <w:rPr>
          <w:rFonts w:ascii="仿宋" w:hAnsi="仿宋" w:eastAsia="仿宋" w:cs="仿宋"/>
          <w:spacing w:val="-6"/>
          <w:sz w:val="32"/>
          <w:szCs w:val="32"/>
        </w:rPr>
      </w:pPr>
      <w:r>
        <w:rPr>
          <w:rFonts w:hint="eastAsia" w:ascii="仿宋" w:hAnsi="仿宋" w:eastAsia="仿宋" w:cs="仿宋"/>
          <w:spacing w:val="-6"/>
          <w:sz w:val="32"/>
          <w:szCs w:val="32"/>
        </w:rPr>
        <w:t>附件：</w:t>
      </w:r>
    </w:p>
    <w:p>
      <w:pPr>
        <w:spacing w:line="600" w:lineRule="exact"/>
        <w:ind w:firstLine="622" w:firstLineChars="200"/>
        <w:rPr>
          <w:rFonts w:ascii="仿宋" w:hAnsi="仿宋" w:eastAsia="仿宋" w:cs="仿宋"/>
          <w:spacing w:val="-6"/>
          <w:sz w:val="32"/>
          <w:szCs w:val="32"/>
        </w:rPr>
      </w:pPr>
      <w:r>
        <w:rPr>
          <w:rFonts w:hint="eastAsia" w:ascii="仿宋" w:hAnsi="仿宋" w:eastAsia="仿宋" w:cs="仿宋"/>
          <w:spacing w:val="-6"/>
          <w:sz w:val="32"/>
          <w:szCs w:val="32"/>
        </w:rPr>
        <w:t xml:space="preserve">1. </w:t>
      </w: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02</w:t>
      </w:r>
      <w:r>
        <w:rPr>
          <w:rFonts w:hint="eastAsia" w:ascii="仿宋" w:hAnsi="仿宋" w:eastAsia="仿宋" w:cs="仿宋"/>
          <w:spacing w:val="-6"/>
          <w:sz w:val="32"/>
          <w:szCs w:val="32"/>
          <w:lang w:val="en-US" w:eastAsia="zh-CN"/>
        </w:rPr>
        <w:t>5</w:t>
      </w:r>
      <w:r>
        <w:rPr>
          <w:rFonts w:hint="eastAsia" w:ascii="仿宋" w:hAnsi="仿宋" w:eastAsia="仿宋" w:cs="仿宋"/>
          <w:spacing w:val="-6"/>
          <w:sz w:val="32"/>
          <w:szCs w:val="32"/>
        </w:rPr>
        <w:t>年江夏区市级油菜轮作</w:t>
      </w:r>
      <w:r>
        <w:rPr>
          <w:rFonts w:hint="eastAsia" w:ascii="仿宋" w:hAnsi="仿宋" w:eastAsia="仿宋" w:cs="仿宋"/>
          <w:spacing w:val="-6"/>
          <w:sz w:val="32"/>
          <w:szCs w:val="32"/>
          <w:lang w:eastAsia="zh-CN"/>
        </w:rPr>
        <w:t>示范项目采购物质发放清单</w:t>
      </w:r>
      <w:r>
        <w:rPr>
          <w:rFonts w:hint="eastAsia" w:ascii="仿宋" w:hAnsi="仿宋" w:eastAsia="仿宋" w:cs="仿宋"/>
          <w:spacing w:val="-6"/>
          <w:sz w:val="32"/>
          <w:szCs w:val="32"/>
        </w:rPr>
        <w:t>；</w:t>
      </w:r>
    </w:p>
    <w:p>
      <w:pPr>
        <w:spacing w:line="600" w:lineRule="exact"/>
        <w:ind w:firstLine="622" w:firstLineChars="200"/>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 xml:space="preserve">. </w:t>
      </w:r>
      <w:r>
        <w:rPr>
          <w:rFonts w:hint="eastAsia" w:ascii="仿宋" w:hAnsi="仿宋" w:eastAsia="仿宋" w:cs="仿宋"/>
          <w:spacing w:val="-6"/>
          <w:sz w:val="32"/>
          <w:szCs w:val="32"/>
          <w:lang w:val="en-US" w:eastAsia="zh-CN"/>
        </w:rPr>
        <w:t>2025年江夏区市级油菜轮作示范项目面积验收单；</w:t>
      </w:r>
    </w:p>
    <w:p>
      <w:pPr>
        <w:spacing w:line="600" w:lineRule="exact"/>
        <w:ind w:firstLine="622" w:firstLineChars="200"/>
        <w:rPr>
          <w:rFonts w:ascii="仿宋" w:hAnsi="仿宋" w:eastAsia="仿宋" w:cs="仿宋"/>
          <w:spacing w:val="-6"/>
          <w:sz w:val="32"/>
          <w:szCs w:val="32"/>
        </w:rPr>
      </w:pPr>
      <w:r>
        <w:rPr>
          <w:rFonts w:hint="eastAsia" w:ascii="仿宋" w:hAnsi="仿宋" w:eastAsia="仿宋" w:cs="仿宋"/>
          <w:spacing w:val="-6"/>
          <w:sz w:val="32"/>
          <w:szCs w:val="32"/>
          <w:lang w:val="en-US" w:eastAsia="zh-CN"/>
        </w:rPr>
        <w:t xml:space="preserve">3. </w:t>
      </w:r>
      <w:r>
        <w:rPr>
          <w:rFonts w:hint="eastAsia" w:ascii="仿宋" w:hAnsi="仿宋" w:eastAsia="仿宋" w:cs="仿宋"/>
          <w:spacing w:val="-6"/>
          <w:sz w:val="32"/>
          <w:szCs w:val="32"/>
        </w:rPr>
        <w:t>202</w:t>
      </w:r>
      <w:r>
        <w:rPr>
          <w:rFonts w:hint="eastAsia" w:ascii="仿宋" w:hAnsi="仿宋" w:eastAsia="仿宋" w:cs="仿宋"/>
          <w:spacing w:val="-6"/>
          <w:sz w:val="32"/>
          <w:szCs w:val="32"/>
          <w:lang w:val="en-US" w:eastAsia="zh-CN"/>
        </w:rPr>
        <w:t>5</w:t>
      </w:r>
      <w:r>
        <w:rPr>
          <w:rFonts w:hint="eastAsia" w:ascii="仿宋" w:hAnsi="仿宋" w:eastAsia="仿宋" w:cs="仿宋"/>
          <w:spacing w:val="-6"/>
          <w:sz w:val="32"/>
          <w:szCs w:val="32"/>
        </w:rPr>
        <w:t>年江夏区市级油菜轮作补助资金明细表；</w:t>
      </w:r>
    </w:p>
    <w:p>
      <w:pPr>
        <w:spacing w:line="600" w:lineRule="exact"/>
        <w:ind w:firstLine="622" w:firstLineChars="200"/>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rPr>
        <w:t xml:space="preserve">. </w:t>
      </w:r>
      <w:r>
        <w:rPr>
          <w:rFonts w:hint="eastAsia" w:ascii="仿宋" w:hAnsi="仿宋" w:eastAsia="仿宋" w:cs="仿宋"/>
          <w:spacing w:val="-6"/>
          <w:sz w:val="32"/>
          <w:szCs w:val="32"/>
          <w:lang w:eastAsia="zh-CN"/>
        </w:rPr>
        <w:t>武汉市江夏区油菜轮作试点示范项目技术指导意见</w:t>
      </w:r>
      <w:r>
        <w:rPr>
          <w:rFonts w:hint="eastAsia" w:ascii="仿宋" w:hAnsi="仿宋" w:eastAsia="仿宋" w:cs="仿宋"/>
          <w:spacing w:val="-6"/>
          <w:sz w:val="32"/>
          <w:szCs w:val="32"/>
        </w:rPr>
        <w:t>。</w:t>
      </w:r>
    </w:p>
    <w:p>
      <w:pPr>
        <w:spacing w:line="600" w:lineRule="exact"/>
        <w:ind w:firstLine="622" w:firstLineChars="200"/>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5.</w:t>
      </w:r>
      <w:r>
        <w:rPr>
          <w:rFonts w:hint="eastAsia" w:ascii="仿宋" w:hAnsi="仿宋" w:eastAsia="仿宋" w:cs="仿宋"/>
          <w:kern w:val="2"/>
          <w:sz w:val="32"/>
          <w:szCs w:val="32"/>
          <w:highlight w:val="none"/>
        </w:rPr>
        <w:t>武汉市</w:t>
      </w:r>
      <w:r>
        <w:rPr>
          <w:rFonts w:hint="eastAsia" w:ascii="仿宋" w:hAnsi="仿宋" w:eastAsia="仿宋" w:cs="仿宋"/>
          <w:kern w:val="2"/>
          <w:sz w:val="32"/>
          <w:szCs w:val="32"/>
          <w:highlight w:val="none"/>
          <w:lang w:eastAsia="zh-CN"/>
        </w:rPr>
        <w:t>江夏区</w:t>
      </w:r>
      <w:r>
        <w:rPr>
          <w:rFonts w:hint="eastAsia" w:ascii="仿宋" w:hAnsi="仿宋" w:eastAsia="仿宋" w:cs="仿宋"/>
          <w:kern w:val="2"/>
          <w:sz w:val="32"/>
          <w:szCs w:val="32"/>
          <w:highlight w:val="none"/>
        </w:rPr>
        <w:t>油菜</w:t>
      </w:r>
      <w:r>
        <w:rPr>
          <w:rFonts w:hint="eastAsia" w:ascii="仿宋" w:hAnsi="仿宋" w:eastAsia="仿宋" w:cs="仿宋"/>
          <w:kern w:val="2"/>
          <w:sz w:val="32"/>
          <w:szCs w:val="32"/>
          <w:highlight w:val="none"/>
          <w:lang w:eastAsia="zh-CN"/>
        </w:rPr>
        <w:t>播栽质量和面积认定标准。</w:t>
      </w:r>
    </w:p>
    <w:p>
      <w:pPr>
        <w:pStyle w:val="8"/>
        <w:widowControl/>
        <w:spacing w:before="0" w:beforeAutospacing="0" w:after="0" w:afterAutospacing="0" w:line="500" w:lineRule="exact"/>
        <w:jc w:val="both"/>
        <w:rPr>
          <w:rFonts w:hint="eastAsia" w:ascii="仿宋" w:hAnsi="仿宋" w:eastAsia="仿宋"/>
          <w:sz w:val="32"/>
          <w:szCs w:val="32"/>
        </w:rPr>
      </w:pPr>
    </w:p>
    <w:p>
      <w:pPr>
        <w:pStyle w:val="8"/>
        <w:widowControl/>
        <w:spacing w:before="0" w:beforeAutospacing="0" w:after="0" w:afterAutospacing="0" w:line="500" w:lineRule="exact"/>
        <w:jc w:val="both"/>
        <w:rPr>
          <w:rFonts w:hint="eastAsia" w:ascii="仿宋" w:hAnsi="仿宋" w:eastAsia="仿宋"/>
          <w:sz w:val="32"/>
          <w:szCs w:val="32"/>
        </w:rPr>
      </w:pPr>
    </w:p>
    <w:p>
      <w:pPr>
        <w:pStyle w:val="8"/>
        <w:widowControl/>
        <w:spacing w:before="0" w:beforeAutospacing="0" w:after="0" w:afterAutospacing="0" w:line="500" w:lineRule="exact"/>
        <w:jc w:val="right"/>
        <w:rPr>
          <w:rFonts w:hint="eastAsia" w:ascii="仿宋" w:hAnsi="仿宋" w:eastAsia="仿宋"/>
          <w:sz w:val="32"/>
          <w:szCs w:val="32"/>
          <w:lang w:val="en-US" w:eastAsia="zh-CN"/>
        </w:rPr>
      </w:pPr>
      <w:r>
        <w:rPr>
          <w:rFonts w:hint="eastAsia" w:ascii="仿宋" w:hAnsi="仿宋" w:eastAsia="仿宋"/>
          <w:sz w:val="32"/>
          <w:szCs w:val="32"/>
          <w:lang w:val="en-US" w:eastAsia="zh-CN"/>
        </w:rPr>
        <w:t>江夏区农业技术推广中心</w:t>
      </w:r>
    </w:p>
    <w:p>
      <w:pPr>
        <w:pStyle w:val="8"/>
        <w:widowControl/>
        <w:wordWrap w:val="0"/>
        <w:spacing w:before="0" w:beforeAutospacing="0" w:after="0" w:afterAutospacing="0" w:line="500" w:lineRule="exact"/>
        <w:jc w:val="right"/>
        <w:rPr>
          <w:rFonts w:hint="default" w:ascii="仿宋" w:hAnsi="仿宋" w:eastAsia="仿宋"/>
          <w:sz w:val="32"/>
          <w:szCs w:val="32"/>
          <w:lang w:val="en-US" w:eastAsia="zh-CN"/>
        </w:rPr>
        <w:sectPr>
          <w:headerReference r:id="rId3" w:type="default"/>
          <w:footerReference r:id="rId4" w:type="default"/>
          <w:pgSz w:w="11906" w:h="16838"/>
          <w:pgMar w:top="1440" w:right="1800" w:bottom="1440" w:left="1800" w:header="851" w:footer="992" w:gutter="0"/>
          <w:pgNumType w:fmt="numberInDash"/>
          <w:cols w:space="0" w:num="1"/>
          <w:rtlGutter w:val="0"/>
          <w:docGrid w:type="linesAndChars" w:linePitch="312" w:charSpace="735"/>
        </w:sectPr>
      </w:pPr>
      <w:r>
        <w:rPr>
          <w:rFonts w:hint="eastAsia" w:ascii="仿宋" w:hAnsi="仿宋" w:eastAsia="仿宋"/>
          <w:sz w:val="32"/>
          <w:szCs w:val="32"/>
          <w:lang w:val="en-US" w:eastAsia="zh-CN"/>
        </w:rPr>
        <w:t xml:space="preserve">2025年8月13日   </w:t>
      </w:r>
    </w:p>
    <w:p>
      <w:pPr>
        <w:pStyle w:val="8"/>
        <w:widowControl/>
        <w:spacing w:before="0" w:beforeAutospacing="0" w:after="0" w:afterAutospacing="0" w:line="500" w:lineRule="exact"/>
        <w:jc w:val="both"/>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1</w:t>
      </w:r>
    </w:p>
    <w:p>
      <w:pPr>
        <w:pStyle w:val="8"/>
        <w:widowControl/>
        <w:spacing w:before="0" w:beforeAutospacing="0" w:after="0" w:afterAutospacing="0" w:line="500" w:lineRule="exact"/>
        <w:jc w:val="center"/>
        <w:rPr>
          <w:rFonts w:ascii="方正小标宋简体" w:hAnsi="仿宋" w:eastAsia="方正小标宋简体"/>
          <w:sz w:val="36"/>
          <w:szCs w:val="36"/>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年江夏区市级油菜轮作</w:t>
      </w:r>
      <w:r>
        <w:rPr>
          <w:rFonts w:hint="eastAsia" w:ascii="方正小标宋简体" w:hAnsi="仿宋" w:eastAsia="方正小标宋简体"/>
          <w:sz w:val="44"/>
          <w:szCs w:val="44"/>
          <w:lang w:eastAsia="zh-CN"/>
        </w:rPr>
        <w:t>示范项目</w:t>
      </w:r>
      <w:r>
        <w:rPr>
          <w:rFonts w:hint="eastAsia" w:ascii="方正小标宋简体" w:hAnsi="仿宋" w:eastAsia="方正小标宋简体"/>
          <w:sz w:val="44"/>
          <w:szCs w:val="44"/>
        </w:rPr>
        <w:t>采购物资发放清单</w:t>
      </w:r>
    </w:p>
    <w:p>
      <w:pPr>
        <w:pStyle w:val="8"/>
        <w:widowControl/>
        <w:spacing w:before="0" w:beforeAutospacing="0" w:after="0" w:afterAutospacing="0" w:line="500" w:lineRule="exact"/>
        <w:jc w:val="center"/>
        <w:rPr>
          <w:rFonts w:ascii="方正小标宋简体" w:hAnsi="方正小标宋简体" w:eastAsia="方正小标宋简体" w:cs="方正小标宋简体"/>
          <w:sz w:val="44"/>
          <w:szCs w:val="44"/>
        </w:rPr>
      </w:pPr>
    </w:p>
    <w:p>
      <w:pPr>
        <w:pStyle w:val="8"/>
        <w:widowControl/>
        <w:spacing w:before="0" w:beforeAutospacing="0" w:after="0" w:afterAutospacing="0" w:line="500" w:lineRule="exact"/>
        <w:jc w:val="both"/>
        <w:rPr>
          <w:rFonts w:ascii="仿宋" w:hAnsi="仿宋" w:eastAsia="仿宋"/>
          <w:sz w:val="28"/>
          <w:szCs w:val="28"/>
        </w:rPr>
      </w:pPr>
      <w:r>
        <w:rPr>
          <w:rFonts w:hint="eastAsia" w:ascii="仿宋" w:hAnsi="仿宋" w:eastAsia="仿宋" w:cs="仿宋"/>
        </w:rPr>
        <w:t>江夏区      街道（</w:t>
      </w:r>
      <w:r>
        <w:rPr>
          <w:rFonts w:hint="eastAsia" w:ascii="仿宋" w:hAnsi="仿宋" w:eastAsia="仿宋" w:cs="仿宋"/>
          <w:lang w:eastAsia="zh-CN"/>
        </w:rPr>
        <w:t>办事处）</w:t>
      </w:r>
      <w:r>
        <w:rPr>
          <w:rFonts w:hint="eastAsia" w:ascii="仿宋" w:hAnsi="仿宋" w:eastAsia="仿宋" w:cs="仿宋"/>
        </w:rPr>
        <w:t xml:space="preserve">        村（盖章）       填写日期：    年  月  日       街道经办人：            联系电话：</w:t>
      </w:r>
    </w:p>
    <w:tbl>
      <w:tblPr>
        <w:tblStyle w:val="18"/>
        <w:tblW w:w="139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
        <w:gridCol w:w="1449"/>
        <w:gridCol w:w="1089"/>
        <w:gridCol w:w="2160"/>
        <w:gridCol w:w="1485"/>
        <w:gridCol w:w="1170"/>
        <w:gridCol w:w="1440"/>
        <w:gridCol w:w="1587"/>
        <w:gridCol w:w="1515"/>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jc w:val="center"/>
        </w:trPr>
        <w:tc>
          <w:tcPr>
            <w:tcW w:w="885" w:type="dxa"/>
            <w:vAlign w:val="center"/>
          </w:tcPr>
          <w:p>
            <w:pPr>
              <w:widowControl w:val="0"/>
              <w:jc w:val="center"/>
              <w:rPr>
                <w:rFonts w:ascii="等线" w:hAnsi="等线" w:eastAsia="等线" w:cs="等线"/>
                <w:b/>
                <w:bCs/>
                <w:sz w:val="20"/>
                <w:szCs w:val="20"/>
                <w:highlight w:val="none"/>
              </w:rPr>
            </w:pPr>
            <w:r>
              <w:rPr>
                <w:rFonts w:hint="eastAsia" w:ascii="等线" w:hAnsi="等线" w:eastAsia="等线" w:cs="等线"/>
                <w:b/>
                <w:bCs/>
                <w:highlight w:val="none"/>
              </w:rPr>
              <w:t>序号</w:t>
            </w:r>
          </w:p>
        </w:tc>
        <w:tc>
          <w:tcPr>
            <w:tcW w:w="1449" w:type="dxa"/>
            <w:vAlign w:val="center"/>
          </w:tcPr>
          <w:p>
            <w:pPr>
              <w:widowControl w:val="0"/>
              <w:jc w:val="center"/>
              <w:rPr>
                <w:rFonts w:ascii="等线" w:hAnsi="等线" w:eastAsia="等线" w:cs="等线"/>
                <w:b/>
                <w:bCs/>
                <w:sz w:val="20"/>
                <w:szCs w:val="20"/>
                <w:highlight w:val="none"/>
              </w:rPr>
            </w:pPr>
            <w:r>
              <w:rPr>
                <w:rFonts w:hint="eastAsia" w:ascii="等线" w:hAnsi="等线" w:eastAsia="等线" w:cs="等线"/>
                <w:b/>
                <w:bCs/>
                <w:highlight w:val="none"/>
                <w:lang w:eastAsia="zh-CN"/>
              </w:rPr>
              <w:t>示范</w:t>
            </w:r>
            <w:r>
              <w:rPr>
                <w:rFonts w:hint="eastAsia" w:ascii="等线" w:hAnsi="等线" w:eastAsia="等线" w:cs="等线"/>
                <w:b/>
                <w:bCs/>
                <w:highlight w:val="none"/>
              </w:rPr>
              <w:t>区域</w:t>
            </w:r>
          </w:p>
        </w:tc>
        <w:tc>
          <w:tcPr>
            <w:tcW w:w="1089" w:type="dxa"/>
            <w:vAlign w:val="center"/>
          </w:tcPr>
          <w:p>
            <w:pPr>
              <w:widowControl w:val="0"/>
              <w:jc w:val="center"/>
              <w:rPr>
                <w:rFonts w:ascii="等线" w:hAnsi="等线" w:eastAsia="等线" w:cs="等线"/>
                <w:b/>
                <w:bCs/>
                <w:sz w:val="20"/>
                <w:szCs w:val="20"/>
                <w:highlight w:val="none"/>
              </w:rPr>
            </w:pPr>
            <w:r>
              <w:rPr>
                <w:rFonts w:hint="eastAsia" w:ascii="等线" w:hAnsi="等线" w:eastAsia="等线" w:cs="等线"/>
                <w:b/>
                <w:bCs/>
                <w:highlight w:val="none"/>
              </w:rPr>
              <w:t>村(组)</w:t>
            </w:r>
          </w:p>
        </w:tc>
        <w:tc>
          <w:tcPr>
            <w:tcW w:w="2160" w:type="dxa"/>
            <w:vAlign w:val="center"/>
          </w:tcPr>
          <w:p>
            <w:pPr>
              <w:widowControl w:val="0"/>
              <w:jc w:val="center"/>
              <w:rPr>
                <w:rFonts w:hint="eastAsia" w:ascii="等线" w:hAnsi="等线" w:eastAsia="等线" w:cs="等线"/>
                <w:b/>
                <w:bCs/>
                <w:sz w:val="20"/>
                <w:szCs w:val="20"/>
                <w:highlight w:val="none"/>
                <w:lang w:eastAsia="zh-CN"/>
              </w:rPr>
            </w:pPr>
            <w:r>
              <w:rPr>
                <w:rFonts w:hint="eastAsia" w:ascii="等线" w:hAnsi="等线" w:eastAsia="等线" w:cs="等线"/>
                <w:b/>
                <w:bCs/>
                <w:sz w:val="20"/>
                <w:szCs w:val="20"/>
                <w:highlight w:val="none"/>
                <w:lang w:eastAsia="zh-CN"/>
              </w:rPr>
              <w:t>农户或新型经营主体负责人姓名</w:t>
            </w:r>
          </w:p>
        </w:tc>
        <w:tc>
          <w:tcPr>
            <w:tcW w:w="1485" w:type="dxa"/>
            <w:vAlign w:val="center"/>
          </w:tcPr>
          <w:p>
            <w:pPr>
              <w:widowControl w:val="0"/>
              <w:jc w:val="center"/>
              <w:rPr>
                <w:rFonts w:ascii="等线" w:hAnsi="等线" w:eastAsia="等线" w:cs="等线"/>
                <w:b/>
                <w:bCs/>
                <w:sz w:val="20"/>
                <w:szCs w:val="20"/>
                <w:highlight w:val="none"/>
              </w:rPr>
            </w:pPr>
            <w:r>
              <w:rPr>
                <w:rFonts w:hint="eastAsia" w:ascii="等线" w:hAnsi="等线" w:eastAsia="等线" w:cs="等线"/>
                <w:b/>
                <w:bCs/>
                <w:highlight w:val="none"/>
              </w:rPr>
              <w:t>*****种子</w:t>
            </w:r>
          </w:p>
          <w:p>
            <w:pPr>
              <w:widowControl w:val="0"/>
              <w:jc w:val="center"/>
              <w:rPr>
                <w:rFonts w:ascii="等线" w:hAnsi="等线" w:eastAsia="等线" w:cs="等线"/>
                <w:b/>
                <w:bCs/>
                <w:sz w:val="20"/>
                <w:szCs w:val="20"/>
                <w:highlight w:val="none"/>
              </w:rPr>
            </w:pPr>
            <w:r>
              <w:rPr>
                <w:rFonts w:hint="eastAsia" w:ascii="等线" w:hAnsi="等线" w:eastAsia="等线" w:cs="等线"/>
                <w:b/>
                <w:bCs/>
                <w:highlight w:val="none"/>
              </w:rPr>
              <w:t>(公斤)</w:t>
            </w:r>
          </w:p>
        </w:tc>
        <w:tc>
          <w:tcPr>
            <w:tcW w:w="1170" w:type="dxa"/>
            <w:vAlign w:val="center"/>
          </w:tcPr>
          <w:p>
            <w:pPr>
              <w:widowControl w:val="0"/>
              <w:jc w:val="center"/>
              <w:rPr>
                <w:rFonts w:ascii="等线" w:hAnsi="等线" w:eastAsia="等线" w:cs="等线"/>
                <w:b/>
                <w:bCs/>
                <w:sz w:val="20"/>
                <w:szCs w:val="20"/>
                <w:highlight w:val="none"/>
              </w:rPr>
            </w:pPr>
            <w:r>
              <w:rPr>
                <w:rFonts w:hint="eastAsia" w:ascii="等线" w:hAnsi="等线" w:eastAsia="等线" w:cs="等线"/>
                <w:b/>
                <w:bCs/>
                <w:highlight w:val="none"/>
              </w:rPr>
              <w:t>****肥料</w:t>
            </w:r>
          </w:p>
          <w:p>
            <w:pPr>
              <w:widowControl w:val="0"/>
              <w:jc w:val="center"/>
              <w:rPr>
                <w:rFonts w:ascii="等线" w:hAnsi="等线" w:eastAsia="等线" w:cs="等线"/>
                <w:b/>
                <w:bCs/>
                <w:sz w:val="20"/>
                <w:szCs w:val="20"/>
                <w:highlight w:val="none"/>
              </w:rPr>
            </w:pPr>
            <w:r>
              <w:rPr>
                <w:rFonts w:hint="eastAsia" w:ascii="等线" w:hAnsi="等线" w:eastAsia="等线" w:cs="等线"/>
                <w:b/>
                <w:bCs/>
                <w:highlight w:val="none"/>
              </w:rPr>
              <w:t>(公斤)</w:t>
            </w:r>
          </w:p>
        </w:tc>
        <w:tc>
          <w:tcPr>
            <w:tcW w:w="1440" w:type="dxa"/>
            <w:vAlign w:val="center"/>
          </w:tcPr>
          <w:p>
            <w:pPr>
              <w:widowControl w:val="0"/>
              <w:jc w:val="center"/>
              <w:rPr>
                <w:rFonts w:ascii="等线" w:hAnsi="等线" w:eastAsia="等线" w:cs="等线"/>
                <w:b/>
                <w:bCs/>
                <w:sz w:val="20"/>
                <w:szCs w:val="20"/>
                <w:highlight w:val="none"/>
              </w:rPr>
            </w:pPr>
            <w:r>
              <w:rPr>
                <w:rFonts w:hint="eastAsia" w:ascii="等线" w:hAnsi="等线" w:eastAsia="等线" w:cs="等线"/>
                <w:b/>
                <w:bCs/>
                <w:highlight w:val="none"/>
              </w:rPr>
              <w:t>*****药剂</w:t>
            </w:r>
          </w:p>
          <w:p>
            <w:pPr>
              <w:widowControl w:val="0"/>
              <w:jc w:val="center"/>
              <w:rPr>
                <w:rFonts w:ascii="等线" w:hAnsi="等线" w:eastAsia="等线" w:cs="等线"/>
                <w:b/>
                <w:bCs/>
                <w:sz w:val="20"/>
                <w:szCs w:val="20"/>
                <w:highlight w:val="none"/>
              </w:rPr>
            </w:pPr>
            <w:r>
              <w:rPr>
                <w:rFonts w:hint="eastAsia" w:ascii="等线" w:hAnsi="等线" w:eastAsia="等线" w:cs="等线"/>
                <w:b/>
                <w:bCs/>
                <w:highlight w:val="none"/>
              </w:rPr>
              <w:t>(公斤)</w:t>
            </w:r>
          </w:p>
        </w:tc>
        <w:tc>
          <w:tcPr>
            <w:tcW w:w="1587" w:type="dxa"/>
            <w:vAlign w:val="center"/>
          </w:tcPr>
          <w:p>
            <w:pPr>
              <w:widowControl w:val="0"/>
              <w:jc w:val="center"/>
              <w:rPr>
                <w:rFonts w:ascii="等线" w:hAnsi="等线" w:eastAsia="等线" w:cs="等线"/>
                <w:b/>
                <w:bCs/>
                <w:sz w:val="20"/>
                <w:szCs w:val="20"/>
                <w:highlight w:val="none"/>
              </w:rPr>
            </w:pPr>
            <w:r>
              <w:rPr>
                <w:rFonts w:hint="eastAsia" w:ascii="等线" w:hAnsi="等线" w:eastAsia="等线" w:cs="等线"/>
                <w:b/>
                <w:bCs/>
                <w:highlight w:val="none"/>
              </w:rPr>
              <w:t>联系电话</w:t>
            </w:r>
          </w:p>
        </w:tc>
        <w:tc>
          <w:tcPr>
            <w:tcW w:w="1515" w:type="dxa"/>
            <w:vAlign w:val="center"/>
          </w:tcPr>
          <w:p>
            <w:pPr>
              <w:widowControl w:val="0"/>
              <w:jc w:val="center"/>
              <w:rPr>
                <w:rFonts w:ascii="等线" w:hAnsi="等线" w:eastAsia="等线" w:cs="等线"/>
                <w:b/>
                <w:bCs/>
                <w:sz w:val="20"/>
                <w:szCs w:val="20"/>
                <w:highlight w:val="none"/>
              </w:rPr>
            </w:pPr>
            <w:r>
              <w:rPr>
                <w:rFonts w:hint="eastAsia" w:ascii="等线" w:hAnsi="等线" w:eastAsia="等线" w:cs="等线"/>
                <w:b/>
                <w:bCs/>
                <w:highlight w:val="none"/>
              </w:rPr>
              <w:t>签字</w:t>
            </w:r>
          </w:p>
        </w:tc>
        <w:tc>
          <w:tcPr>
            <w:tcW w:w="1173" w:type="dxa"/>
            <w:vAlign w:val="center"/>
          </w:tcPr>
          <w:p>
            <w:pPr>
              <w:widowControl w:val="0"/>
              <w:jc w:val="center"/>
              <w:rPr>
                <w:rFonts w:ascii="等线" w:hAnsi="等线" w:eastAsia="等线" w:cs="等线"/>
                <w:b/>
                <w:bCs/>
                <w:sz w:val="20"/>
                <w:szCs w:val="20"/>
                <w:highlight w:val="none"/>
              </w:rPr>
            </w:pPr>
            <w:r>
              <w:rPr>
                <w:rFonts w:hint="eastAsia" w:ascii="等线" w:hAnsi="等线" w:eastAsia="等线" w:cs="等线"/>
                <w:b/>
                <w:bCs/>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885" w:type="dxa"/>
            <w:vAlign w:val="center"/>
          </w:tcPr>
          <w:p>
            <w:pPr>
              <w:widowControl w:val="0"/>
              <w:jc w:val="center"/>
              <w:rPr>
                <w:rFonts w:ascii="等线" w:hAnsi="等线" w:eastAsia="等线" w:cs="等线"/>
                <w:sz w:val="20"/>
                <w:szCs w:val="20"/>
                <w:highlight w:val="none"/>
              </w:rPr>
            </w:pPr>
            <w:r>
              <w:rPr>
                <w:rFonts w:hint="eastAsia" w:ascii="等线" w:hAnsi="等线" w:eastAsia="等线" w:cs="等线"/>
                <w:highlight w:val="none"/>
              </w:rPr>
              <w:t>1</w:t>
            </w:r>
          </w:p>
        </w:tc>
        <w:tc>
          <w:tcPr>
            <w:tcW w:w="1449" w:type="dxa"/>
            <w:vAlign w:val="center"/>
          </w:tcPr>
          <w:p>
            <w:pPr>
              <w:widowControl w:val="0"/>
              <w:jc w:val="center"/>
              <w:rPr>
                <w:rFonts w:ascii="等线" w:hAnsi="等线" w:eastAsia="等线" w:cs="等线"/>
                <w:sz w:val="20"/>
                <w:szCs w:val="20"/>
                <w:highlight w:val="none"/>
              </w:rPr>
            </w:pPr>
          </w:p>
        </w:tc>
        <w:tc>
          <w:tcPr>
            <w:tcW w:w="1089" w:type="dxa"/>
            <w:vAlign w:val="center"/>
          </w:tcPr>
          <w:p>
            <w:pPr>
              <w:widowControl w:val="0"/>
              <w:jc w:val="center"/>
              <w:rPr>
                <w:rFonts w:ascii="等线" w:hAnsi="等线" w:eastAsia="等线" w:cs="等线"/>
                <w:sz w:val="20"/>
                <w:szCs w:val="20"/>
                <w:highlight w:val="none"/>
              </w:rPr>
            </w:pPr>
          </w:p>
        </w:tc>
        <w:tc>
          <w:tcPr>
            <w:tcW w:w="2160" w:type="dxa"/>
            <w:vAlign w:val="center"/>
          </w:tcPr>
          <w:p>
            <w:pPr>
              <w:widowControl w:val="0"/>
              <w:jc w:val="center"/>
              <w:rPr>
                <w:rFonts w:ascii="等线" w:hAnsi="等线" w:eastAsia="等线" w:cs="等线"/>
                <w:sz w:val="20"/>
                <w:szCs w:val="20"/>
                <w:highlight w:val="none"/>
              </w:rPr>
            </w:pPr>
          </w:p>
        </w:tc>
        <w:tc>
          <w:tcPr>
            <w:tcW w:w="1485" w:type="dxa"/>
            <w:vAlign w:val="center"/>
          </w:tcPr>
          <w:p>
            <w:pPr>
              <w:widowControl w:val="0"/>
              <w:jc w:val="center"/>
              <w:rPr>
                <w:rFonts w:ascii="等线" w:hAnsi="等线" w:eastAsia="等线" w:cs="等线"/>
                <w:sz w:val="20"/>
                <w:szCs w:val="20"/>
                <w:highlight w:val="none"/>
              </w:rPr>
            </w:pPr>
          </w:p>
        </w:tc>
        <w:tc>
          <w:tcPr>
            <w:tcW w:w="1170" w:type="dxa"/>
            <w:vAlign w:val="center"/>
          </w:tcPr>
          <w:p>
            <w:pPr>
              <w:widowControl w:val="0"/>
              <w:jc w:val="center"/>
              <w:rPr>
                <w:rFonts w:ascii="等线" w:hAnsi="等线" w:eastAsia="等线" w:cs="等线"/>
                <w:sz w:val="20"/>
                <w:szCs w:val="20"/>
                <w:highlight w:val="none"/>
              </w:rPr>
            </w:pPr>
          </w:p>
        </w:tc>
        <w:tc>
          <w:tcPr>
            <w:tcW w:w="1440" w:type="dxa"/>
            <w:vAlign w:val="center"/>
          </w:tcPr>
          <w:p>
            <w:pPr>
              <w:widowControl w:val="0"/>
              <w:jc w:val="center"/>
              <w:rPr>
                <w:rFonts w:ascii="等线" w:hAnsi="等线" w:eastAsia="等线" w:cs="等线"/>
                <w:sz w:val="20"/>
                <w:szCs w:val="20"/>
                <w:highlight w:val="none"/>
              </w:rPr>
            </w:pPr>
          </w:p>
        </w:tc>
        <w:tc>
          <w:tcPr>
            <w:tcW w:w="1587" w:type="dxa"/>
            <w:vAlign w:val="center"/>
          </w:tcPr>
          <w:p>
            <w:pPr>
              <w:widowControl w:val="0"/>
              <w:jc w:val="center"/>
              <w:rPr>
                <w:rFonts w:ascii="等线" w:hAnsi="等线" w:eastAsia="等线" w:cs="等线"/>
                <w:sz w:val="20"/>
                <w:szCs w:val="20"/>
                <w:highlight w:val="none"/>
              </w:rPr>
            </w:pPr>
          </w:p>
        </w:tc>
        <w:tc>
          <w:tcPr>
            <w:tcW w:w="1515" w:type="dxa"/>
            <w:vAlign w:val="center"/>
          </w:tcPr>
          <w:p>
            <w:pPr>
              <w:widowControl w:val="0"/>
              <w:jc w:val="center"/>
              <w:rPr>
                <w:rFonts w:ascii="等线" w:hAnsi="等线" w:eastAsia="等线" w:cs="等线"/>
                <w:sz w:val="20"/>
                <w:szCs w:val="20"/>
                <w:highlight w:val="none"/>
              </w:rPr>
            </w:pPr>
          </w:p>
        </w:tc>
        <w:tc>
          <w:tcPr>
            <w:tcW w:w="1173" w:type="dxa"/>
            <w:vAlign w:val="center"/>
          </w:tcPr>
          <w:p>
            <w:pPr>
              <w:widowControl w:val="0"/>
              <w:jc w:val="center"/>
              <w:rPr>
                <w:rFonts w:ascii="等线" w:hAnsi="等线" w:eastAsia="等线" w:cs="等线"/>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885" w:type="dxa"/>
            <w:vAlign w:val="center"/>
          </w:tcPr>
          <w:p>
            <w:pPr>
              <w:widowControl w:val="0"/>
              <w:jc w:val="center"/>
              <w:rPr>
                <w:rFonts w:ascii="等线" w:hAnsi="等线" w:eastAsia="等线" w:cs="等线"/>
                <w:sz w:val="20"/>
                <w:szCs w:val="20"/>
                <w:highlight w:val="none"/>
              </w:rPr>
            </w:pPr>
            <w:r>
              <w:rPr>
                <w:rFonts w:hint="eastAsia" w:ascii="等线" w:hAnsi="等线" w:eastAsia="等线" w:cs="等线"/>
                <w:highlight w:val="none"/>
              </w:rPr>
              <w:t>2</w:t>
            </w:r>
          </w:p>
        </w:tc>
        <w:tc>
          <w:tcPr>
            <w:tcW w:w="1449" w:type="dxa"/>
            <w:vAlign w:val="center"/>
          </w:tcPr>
          <w:p>
            <w:pPr>
              <w:widowControl w:val="0"/>
              <w:jc w:val="center"/>
              <w:rPr>
                <w:rFonts w:ascii="等线" w:hAnsi="等线" w:eastAsia="等线" w:cs="等线"/>
                <w:sz w:val="20"/>
                <w:szCs w:val="20"/>
                <w:highlight w:val="none"/>
              </w:rPr>
            </w:pPr>
          </w:p>
        </w:tc>
        <w:tc>
          <w:tcPr>
            <w:tcW w:w="1089" w:type="dxa"/>
            <w:vAlign w:val="center"/>
          </w:tcPr>
          <w:p>
            <w:pPr>
              <w:widowControl w:val="0"/>
              <w:jc w:val="center"/>
              <w:rPr>
                <w:rFonts w:ascii="等线" w:hAnsi="等线" w:eastAsia="等线" w:cs="等线"/>
                <w:sz w:val="20"/>
                <w:szCs w:val="20"/>
                <w:highlight w:val="none"/>
              </w:rPr>
            </w:pPr>
          </w:p>
        </w:tc>
        <w:tc>
          <w:tcPr>
            <w:tcW w:w="2160" w:type="dxa"/>
            <w:vAlign w:val="center"/>
          </w:tcPr>
          <w:p>
            <w:pPr>
              <w:widowControl w:val="0"/>
              <w:jc w:val="center"/>
              <w:rPr>
                <w:rFonts w:ascii="等线" w:hAnsi="等线" w:eastAsia="等线" w:cs="等线"/>
                <w:sz w:val="20"/>
                <w:szCs w:val="20"/>
                <w:highlight w:val="none"/>
              </w:rPr>
            </w:pPr>
          </w:p>
        </w:tc>
        <w:tc>
          <w:tcPr>
            <w:tcW w:w="1485" w:type="dxa"/>
            <w:vAlign w:val="center"/>
          </w:tcPr>
          <w:p>
            <w:pPr>
              <w:widowControl w:val="0"/>
              <w:jc w:val="center"/>
              <w:rPr>
                <w:rFonts w:ascii="等线" w:hAnsi="等线" w:eastAsia="等线" w:cs="等线"/>
                <w:sz w:val="20"/>
                <w:szCs w:val="20"/>
                <w:highlight w:val="none"/>
              </w:rPr>
            </w:pPr>
          </w:p>
        </w:tc>
        <w:tc>
          <w:tcPr>
            <w:tcW w:w="1170" w:type="dxa"/>
            <w:vAlign w:val="center"/>
          </w:tcPr>
          <w:p>
            <w:pPr>
              <w:widowControl w:val="0"/>
              <w:jc w:val="center"/>
              <w:rPr>
                <w:rFonts w:ascii="等线" w:hAnsi="等线" w:eastAsia="等线" w:cs="等线"/>
                <w:sz w:val="20"/>
                <w:szCs w:val="20"/>
                <w:highlight w:val="none"/>
              </w:rPr>
            </w:pPr>
          </w:p>
        </w:tc>
        <w:tc>
          <w:tcPr>
            <w:tcW w:w="1440" w:type="dxa"/>
            <w:vAlign w:val="center"/>
          </w:tcPr>
          <w:p>
            <w:pPr>
              <w:widowControl w:val="0"/>
              <w:jc w:val="center"/>
              <w:rPr>
                <w:rFonts w:ascii="等线" w:hAnsi="等线" w:eastAsia="等线" w:cs="等线"/>
                <w:sz w:val="20"/>
                <w:szCs w:val="20"/>
                <w:highlight w:val="none"/>
              </w:rPr>
            </w:pPr>
          </w:p>
        </w:tc>
        <w:tc>
          <w:tcPr>
            <w:tcW w:w="1587" w:type="dxa"/>
            <w:vAlign w:val="center"/>
          </w:tcPr>
          <w:p>
            <w:pPr>
              <w:widowControl w:val="0"/>
              <w:jc w:val="center"/>
              <w:rPr>
                <w:rFonts w:ascii="等线" w:hAnsi="等线" w:eastAsia="等线" w:cs="等线"/>
                <w:sz w:val="20"/>
                <w:szCs w:val="20"/>
                <w:highlight w:val="none"/>
              </w:rPr>
            </w:pPr>
          </w:p>
        </w:tc>
        <w:tc>
          <w:tcPr>
            <w:tcW w:w="1515" w:type="dxa"/>
            <w:vAlign w:val="center"/>
          </w:tcPr>
          <w:p>
            <w:pPr>
              <w:widowControl w:val="0"/>
              <w:jc w:val="center"/>
              <w:rPr>
                <w:rFonts w:ascii="等线" w:hAnsi="等线" w:eastAsia="等线" w:cs="等线"/>
                <w:sz w:val="20"/>
                <w:szCs w:val="20"/>
                <w:highlight w:val="none"/>
              </w:rPr>
            </w:pPr>
          </w:p>
        </w:tc>
        <w:tc>
          <w:tcPr>
            <w:tcW w:w="1173" w:type="dxa"/>
            <w:vAlign w:val="center"/>
          </w:tcPr>
          <w:p>
            <w:pPr>
              <w:widowControl w:val="0"/>
              <w:jc w:val="center"/>
              <w:rPr>
                <w:rFonts w:ascii="等线" w:hAnsi="等线" w:eastAsia="等线" w:cs="等线"/>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885" w:type="dxa"/>
            <w:vAlign w:val="center"/>
          </w:tcPr>
          <w:p>
            <w:pPr>
              <w:widowControl w:val="0"/>
              <w:jc w:val="center"/>
              <w:rPr>
                <w:rFonts w:ascii="等线" w:hAnsi="等线" w:eastAsia="等线" w:cs="等线"/>
                <w:sz w:val="20"/>
                <w:szCs w:val="20"/>
                <w:highlight w:val="none"/>
              </w:rPr>
            </w:pPr>
            <w:r>
              <w:rPr>
                <w:rFonts w:hint="eastAsia" w:ascii="等线" w:hAnsi="等线" w:eastAsia="等线" w:cs="等线"/>
                <w:highlight w:val="none"/>
              </w:rPr>
              <w:t>3</w:t>
            </w:r>
          </w:p>
        </w:tc>
        <w:tc>
          <w:tcPr>
            <w:tcW w:w="1449" w:type="dxa"/>
            <w:vAlign w:val="center"/>
          </w:tcPr>
          <w:p>
            <w:pPr>
              <w:widowControl w:val="0"/>
              <w:jc w:val="center"/>
              <w:rPr>
                <w:rFonts w:ascii="等线" w:hAnsi="等线" w:eastAsia="等线" w:cs="等线"/>
                <w:sz w:val="20"/>
                <w:szCs w:val="20"/>
                <w:highlight w:val="none"/>
              </w:rPr>
            </w:pPr>
          </w:p>
        </w:tc>
        <w:tc>
          <w:tcPr>
            <w:tcW w:w="1089" w:type="dxa"/>
            <w:vAlign w:val="center"/>
          </w:tcPr>
          <w:p>
            <w:pPr>
              <w:widowControl w:val="0"/>
              <w:jc w:val="center"/>
              <w:rPr>
                <w:rFonts w:ascii="等线" w:hAnsi="等线" w:eastAsia="等线" w:cs="等线"/>
                <w:sz w:val="20"/>
                <w:szCs w:val="20"/>
                <w:highlight w:val="none"/>
              </w:rPr>
            </w:pPr>
          </w:p>
        </w:tc>
        <w:tc>
          <w:tcPr>
            <w:tcW w:w="2160" w:type="dxa"/>
            <w:vAlign w:val="center"/>
          </w:tcPr>
          <w:p>
            <w:pPr>
              <w:widowControl w:val="0"/>
              <w:jc w:val="center"/>
              <w:rPr>
                <w:rFonts w:ascii="等线" w:hAnsi="等线" w:eastAsia="等线" w:cs="等线"/>
                <w:sz w:val="20"/>
                <w:szCs w:val="20"/>
                <w:highlight w:val="none"/>
              </w:rPr>
            </w:pPr>
          </w:p>
        </w:tc>
        <w:tc>
          <w:tcPr>
            <w:tcW w:w="1485" w:type="dxa"/>
            <w:vAlign w:val="center"/>
          </w:tcPr>
          <w:p>
            <w:pPr>
              <w:widowControl w:val="0"/>
              <w:jc w:val="center"/>
              <w:rPr>
                <w:rFonts w:ascii="等线" w:hAnsi="等线" w:eastAsia="等线" w:cs="等线"/>
                <w:sz w:val="20"/>
                <w:szCs w:val="20"/>
                <w:highlight w:val="none"/>
              </w:rPr>
            </w:pPr>
          </w:p>
        </w:tc>
        <w:tc>
          <w:tcPr>
            <w:tcW w:w="1170" w:type="dxa"/>
            <w:vAlign w:val="center"/>
          </w:tcPr>
          <w:p>
            <w:pPr>
              <w:widowControl w:val="0"/>
              <w:jc w:val="center"/>
              <w:rPr>
                <w:rFonts w:ascii="等线" w:hAnsi="等线" w:eastAsia="等线" w:cs="等线"/>
                <w:sz w:val="20"/>
                <w:szCs w:val="20"/>
                <w:highlight w:val="none"/>
              </w:rPr>
            </w:pPr>
          </w:p>
        </w:tc>
        <w:tc>
          <w:tcPr>
            <w:tcW w:w="1440" w:type="dxa"/>
            <w:vAlign w:val="center"/>
          </w:tcPr>
          <w:p>
            <w:pPr>
              <w:widowControl w:val="0"/>
              <w:jc w:val="center"/>
              <w:rPr>
                <w:rFonts w:ascii="等线" w:hAnsi="等线" w:eastAsia="等线" w:cs="等线"/>
                <w:sz w:val="20"/>
                <w:szCs w:val="20"/>
                <w:highlight w:val="none"/>
              </w:rPr>
            </w:pPr>
          </w:p>
        </w:tc>
        <w:tc>
          <w:tcPr>
            <w:tcW w:w="1587" w:type="dxa"/>
            <w:vAlign w:val="center"/>
          </w:tcPr>
          <w:p>
            <w:pPr>
              <w:widowControl w:val="0"/>
              <w:jc w:val="center"/>
              <w:rPr>
                <w:rFonts w:ascii="等线" w:hAnsi="等线" w:eastAsia="等线" w:cs="等线"/>
                <w:sz w:val="20"/>
                <w:szCs w:val="20"/>
                <w:highlight w:val="none"/>
              </w:rPr>
            </w:pPr>
          </w:p>
        </w:tc>
        <w:tc>
          <w:tcPr>
            <w:tcW w:w="1515" w:type="dxa"/>
            <w:vAlign w:val="center"/>
          </w:tcPr>
          <w:p>
            <w:pPr>
              <w:widowControl w:val="0"/>
              <w:jc w:val="center"/>
              <w:rPr>
                <w:rFonts w:ascii="等线" w:hAnsi="等线" w:eastAsia="等线" w:cs="等线"/>
                <w:sz w:val="20"/>
                <w:szCs w:val="20"/>
                <w:highlight w:val="none"/>
              </w:rPr>
            </w:pPr>
          </w:p>
        </w:tc>
        <w:tc>
          <w:tcPr>
            <w:tcW w:w="1173" w:type="dxa"/>
            <w:vAlign w:val="center"/>
          </w:tcPr>
          <w:p>
            <w:pPr>
              <w:widowControl w:val="0"/>
              <w:jc w:val="center"/>
              <w:rPr>
                <w:rFonts w:ascii="等线" w:hAnsi="等线" w:eastAsia="等线" w:cs="等线"/>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885" w:type="dxa"/>
            <w:vAlign w:val="center"/>
          </w:tcPr>
          <w:p>
            <w:pPr>
              <w:widowControl w:val="0"/>
              <w:jc w:val="center"/>
              <w:rPr>
                <w:rFonts w:ascii="等线" w:hAnsi="等线" w:eastAsia="等线" w:cs="等线"/>
                <w:sz w:val="20"/>
                <w:szCs w:val="20"/>
                <w:highlight w:val="none"/>
              </w:rPr>
            </w:pPr>
            <w:r>
              <w:rPr>
                <w:rFonts w:hint="eastAsia" w:ascii="等线" w:hAnsi="等线" w:eastAsia="等线" w:cs="等线"/>
                <w:highlight w:val="none"/>
              </w:rPr>
              <w:t>4</w:t>
            </w:r>
          </w:p>
        </w:tc>
        <w:tc>
          <w:tcPr>
            <w:tcW w:w="1449" w:type="dxa"/>
            <w:vAlign w:val="center"/>
          </w:tcPr>
          <w:p>
            <w:pPr>
              <w:widowControl w:val="0"/>
              <w:jc w:val="center"/>
              <w:rPr>
                <w:rFonts w:ascii="等线" w:hAnsi="等线" w:eastAsia="等线" w:cs="等线"/>
                <w:sz w:val="20"/>
                <w:szCs w:val="20"/>
                <w:highlight w:val="none"/>
              </w:rPr>
            </w:pPr>
          </w:p>
        </w:tc>
        <w:tc>
          <w:tcPr>
            <w:tcW w:w="1089" w:type="dxa"/>
            <w:vAlign w:val="center"/>
          </w:tcPr>
          <w:p>
            <w:pPr>
              <w:widowControl w:val="0"/>
              <w:jc w:val="center"/>
              <w:rPr>
                <w:rFonts w:ascii="等线" w:hAnsi="等线" w:eastAsia="等线" w:cs="等线"/>
                <w:sz w:val="20"/>
                <w:szCs w:val="20"/>
                <w:highlight w:val="none"/>
              </w:rPr>
            </w:pPr>
          </w:p>
        </w:tc>
        <w:tc>
          <w:tcPr>
            <w:tcW w:w="2160" w:type="dxa"/>
            <w:vAlign w:val="center"/>
          </w:tcPr>
          <w:p>
            <w:pPr>
              <w:widowControl w:val="0"/>
              <w:jc w:val="center"/>
              <w:rPr>
                <w:rFonts w:ascii="等线" w:hAnsi="等线" w:eastAsia="等线" w:cs="等线"/>
                <w:sz w:val="20"/>
                <w:szCs w:val="20"/>
                <w:highlight w:val="none"/>
              </w:rPr>
            </w:pPr>
          </w:p>
        </w:tc>
        <w:tc>
          <w:tcPr>
            <w:tcW w:w="1485" w:type="dxa"/>
            <w:vAlign w:val="center"/>
          </w:tcPr>
          <w:p>
            <w:pPr>
              <w:widowControl w:val="0"/>
              <w:jc w:val="center"/>
              <w:rPr>
                <w:rFonts w:ascii="等线" w:hAnsi="等线" w:eastAsia="等线" w:cs="等线"/>
                <w:sz w:val="20"/>
                <w:szCs w:val="20"/>
                <w:highlight w:val="none"/>
              </w:rPr>
            </w:pPr>
          </w:p>
        </w:tc>
        <w:tc>
          <w:tcPr>
            <w:tcW w:w="1170" w:type="dxa"/>
            <w:vAlign w:val="center"/>
          </w:tcPr>
          <w:p>
            <w:pPr>
              <w:widowControl w:val="0"/>
              <w:jc w:val="center"/>
              <w:rPr>
                <w:rFonts w:ascii="等线" w:hAnsi="等线" w:eastAsia="等线" w:cs="等线"/>
                <w:sz w:val="20"/>
                <w:szCs w:val="20"/>
                <w:highlight w:val="none"/>
              </w:rPr>
            </w:pPr>
          </w:p>
        </w:tc>
        <w:tc>
          <w:tcPr>
            <w:tcW w:w="1440" w:type="dxa"/>
            <w:vAlign w:val="center"/>
          </w:tcPr>
          <w:p>
            <w:pPr>
              <w:widowControl w:val="0"/>
              <w:jc w:val="center"/>
              <w:rPr>
                <w:rFonts w:ascii="等线" w:hAnsi="等线" w:eastAsia="等线" w:cs="等线"/>
                <w:sz w:val="20"/>
                <w:szCs w:val="20"/>
                <w:highlight w:val="none"/>
              </w:rPr>
            </w:pPr>
          </w:p>
        </w:tc>
        <w:tc>
          <w:tcPr>
            <w:tcW w:w="1587" w:type="dxa"/>
            <w:vAlign w:val="center"/>
          </w:tcPr>
          <w:p>
            <w:pPr>
              <w:widowControl w:val="0"/>
              <w:jc w:val="center"/>
              <w:rPr>
                <w:rFonts w:ascii="等线" w:hAnsi="等线" w:eastAsia="等线" w:cs="等线"/>
                <w:sz w:val="20"/>
                <w:szCs w:val="20"/>
                <w:highlight w:val="none"/>
              </w:rPr>
            </w:pPr>
          </w:p>
        </w:tc>
        <w:tc>
          <w:tcPr>
            <w:tcW w:w="1515" w:type="dxa"/>
            <w:vAlign w:val="center"/>
          </w:tcPr>
          <w:p>
            <w:pPr>
              <w:widowControl w:val="0"/>
              <w:jc w:val="center"/>
              <w:rPr>
                <w:rFonts w:ascii="等线" w:hAnsi="等线" w:eastAsia="等线" w:cs="等线"/>
                <w:sz w:val="20"/>
                <w:szCs w:val="20"/>
                <w:highlight w:val="none"/>
              </w:rPr>
            </w:pPr>
          </w:p>
        </w:tc>
        <w:tc>
          <w:tcPr>
            <w:tcW w:w="1173" w:type="dxa"/>
            <w:vAlign w:val="center"/>
          </w:tcPr>
          <w:p>
            <w:pPr>
              <w:widowControl w:val="0"/>
              <w:jc w:val="center"/>
              <w:rPr>
                <w:rFonts w:ascii="等线" w:hAnsi="等线" w:eastAsia="等线" w:cs="等线"/>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885" w:type="dxa"/>
            <w:vAlign w:val="center"/>
          </w:tcPr>
          <w:p>
            <w:pPr>
              <w:widowControl w:val="0"/>
              <w:jc w:val="center"/>
              <w:rPr>
                <w:rFonts w:ascii="等线" w:hAnsi="等线" w:eastAsia="等线" w:cs="等线"/>
                <w:sz w:val="20"/>
                <w:szCs w:val="20"/>
                <w:highlight w:val="none"/>
              </w:rPr>
            </w:pPr>
            <w:r>
              <w:rPr>
                <w:rFonts w:hint="eastAsia" w:ascii="等线" w:hAnsi="等线" w:eastAsia="等线" w:cs="等线"/>
                <w:highlight w:val="none"/>
              </w:rPr>
              <w:t>5</w:t>
            </w:r>
          </w:p>
        </w:tc>
        <w:tc>
          <w:tcPr>
            <w:tcW w:w="1449" w:type="dxa"/>
            <w:vAlign w:val="center"/>
          </w:tcPr>
          <w:p>
            <w:pPr>
              <w:widowControl w:val="0"/>
              <w:jc w:val="center"/>
              <w:rPr>
                <w:rFonts w:ascii="等线" w:hAnsi="等线" w:eastAsia="等线" w:cs="等线"/>
                <w:sz w:val="20"/>
                <w:szCs w:val="20"/>
                <w:highlight w:val="none"/>
              </w:rPr>
            </w:pPr>
          </w:p>
        </w:tc>
        <w:tc>
          <w:tcPr>
            <w:tcW w:w="1089" w:type="dxa"/>
            <w:vAlign w:val="center"/>
          </w:tcPr>
          <w:p>
            <w:pPr>
              <w:widowControl w:val="0"/>
              <w:jc w:val="center"/>
              <w:rPr>
                <w:rFonts w:ascii="等线" w:hAnsi="等线" w:eastAsia="等线" w:cs="等线"/>
                <w:sz w:val="20"/>
                <w:szCs w:val="20"/>
                <w:highlight w:val="none"/>
              </w:rPr>
            </w:pPr>
          </w:p>
        </w:tc>
        <w:tc>
          <w:tcPr>
            <w:tcW w:w="2160" w:type="dxa"/>
            <w:vAlign w:val="center"/>
          </w:tcPr>
          <w:p>
            <w:pPr>
              <w:widowControl w:val="0"/>
              <w:jc w:val="center"/>
              <w:rPr>
                <w:rFonts w:ascii="等线" w:hAnsi="等线" w:eastAsia="等线" w:cs="等线"/>
                <w:sz w:val="20"/>
                <w:szCs w:val="20"/>
                <w:highlight w:val="none"/>
              </w:rPr>
            </w:pPr>
          </w:p>
        </w:tc>
        <w:tc>
          <w:tcPr>
            <w:tcW w:w="1485" w:type="dxa"/>
            <w:vAlign w:val="center"/>
          </w:tcPr>
          <w:p>
            <w:pPr>
              <w:widowControl w:val="0"/>
              <w:jc w:val="center"/>
              <w:rPr>
                <w:rFonts w:ascii="等线" w:hAnsi="等线" w:eastAsia="等线" w:cs="等线"/>
                <w:sz w:val="20"/>
                <w:szCs w:val="20"/>
                <w:highlight w:val="none"/>
              </w:rPr>
            </w:pPr>
          </w:p>
        </w:tc>
        <w:tc>
          <w:tcPr>
            <w:tcW w:w="1170" w:type="dxa"/>
            <w:vAlign w:val="center"/>
          </w:tcPr>
          <w:p>
            <w:pPr>
              <w:widowControl w:val="0"/>
              <w:jc w:val="center"/>
              <w:rPr>
                <w:rFonts w:ascii="等线" w:hAnsi="等线" w:eastAsia="等线" w:cs="等线"/>
                <w:sz w:val="20"/>
                <w:szCs w:val="20"/>
                <w:highlight w:val="none"/>
              </w:rPr>
            </w:pPr>
          </w:p>
        </w:tc>
        <w:tc>
          <w:tcPr>
            <w:tcW w:w="1440" w:type="dxa"/>
            <w:vAlign w:val="center"/>
          </w:tcPr>
          <w:p>
            <w:pPr>
              <w:widowControl w:val="0"/>
              <w:jc w:val="center"/>
              <w:rPr>
                <w:rFonts w:ascii="等线" w:hAnsi="等线" w:eastAsia="等线" w:cs="等线"/>
                <w:sz w:val="20"/>
                <w:szCs w:val="20"/>
                <w:highlight w:val="none"/>
              </w:rPr>
            </w:pPr>
          </w:p>
        </w:tc>
        <w:tc>
          <w:tcPr>
            <w:tcW w:w="1587" w:type="dxa"/>
            <w:vAlign w:val="center"/>
          </w:tcPr>
          <w:p>
            <w:pPr>
              <w:widowControl w:val="0"/>
              <w:jc w:val="center"/>
              <w:rPr>
                <w:rFonts w:ascii="等线" w:hAnsi="等线" w:eastAsia="等线" w:cs="等线"/>
                <w:sz w:val="20"/>
                <w:szCs w:val="20"/>
                <w:highlight w:val="none"/>
              </w:rPr>
            </w:pPr>
          </w:p>
        </w:tc>
        <w:tc>
          <w:tcPr>
            <w:tcW w:w="1515" w:type="dxa"/>
            <w:vAlign w:val="center"/>
          </w:tcPr>
          <w:p>
            <w:pPr>
              <w:widowControl w:val="0"/>
              <w:jc w:val="center"/>
              <w:rPr>
                <w:rFonts w:ascii="等线" w:hAnsi="等线" w:eastAsia="等线" w:cs="等线"/>
                <w:sz w:val="20"/>
                <w:szCs w:val="20"/>
                <w:highlight w:val="none"/>
              </w:rPr>
            </w:pPr>
          </w:p>
        </w:tc>
        <w:tc>
          <w:tcPr>
            <w:tcW w:w="1173" w:type="dxa"/>
            <w:vAlign w:val="center"/>
          </w:tcPr>
          <w:p>
            <w:pPr>
              <w:widowControl w:val="0"/>
              <w:jc w:val="center"/>
              <w:rPr>
                <w:rFonts w:ascii="等线" w:hAnsi="等线" w:eastAsia="等线" w:cs="等线"/>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885" w:type="dxa"/>
            <w:vAlign w:val="center"/>
          </w:tcPr>
          <w:p>
            <w:pPr>
              <w:widowControl w:val="0"/>
              <w:jc w:val="center"/>
              <w:rPr>
                <w:rFonts w:hint="eastAsia" w:ascii="等线" w:hAnsi="等线" w:eastAsia="等线" w:cs="等线"/>
                <w:highlight w:val="none"/>
              </w:rPr>
            </w:pPr>
          </w:p>
        </w:tc>
        <w:tc>
          <w:tcPr>
            <w:tcW w:w="1449" w:type="dxa"/>
            <w:vAlign w:val="center"/>
          </w:tcPr>
          <w:p>
            <w:pPr>
              <w:widowControl w:val="0"/>
              <w:jc w:val="center"/>
              <w:rPr>
                <w:rFonts w:ascii="等线" w:hAnsi="等线" w:eastAsia="等线" w:cs="等线"/>
                <w:sz w:val="20"/>
                <w:szCs w:val="20"/>
                <w:highlight w:val="none"/>
              </w:rPr>
            </w:pPr>
          </w:p>
        </w:tc>
        <w:tc>
          <w:tcPr>
            <w:tcW w:w="1089" w:type="dxa"/>
            <w:vAlign w:val="center"/>
          </w:tcPr>
          <w:p>
            <w:pPr>
              <w:widowControl w:val="0"/>
              <w:jc w:val="center"/>
              <w:rPr>
                <w:rFonts w:ascii="等线" w:hAnsi="等线" w:eastAsia="等线" w:cs="等线"/>
                <w:sz w:val="20"/>
                <w:szCs w:val="20"/>
                <w:highlight w:val="none"/>
              </w:rPr>
            </w:pPr>
          </w:p>
        </w:tc>
        <w:tc>
          <w:tcPr>
            <w:tcW w:w="2160" w:type="dxa"/>
            <w:vAlign w:val="center"/>
          </w:tcPr>
          <w:p>
            <w:pPr>
              <w:widowControl w:val="0"/>
              <w:jc w:val="center"/>
              <w:rPr>
                <w:rFonts w:ascii="等线" w:hAnsi="等线" w:eastAsia="等线" w:cs="等线"/>
                <w:sz w:val="20"/>
                <w:szCs w:val="20"/>
                <w:highlight w:val="none"/>
              </w:rPr>
            </w:pPr>
          </w:p>
        </w:tc>
        <w:tc>
          <w:tcPr>
            <w:tcW w:w="1485" w:type="dxa"/>
            <w:vAlign w:val="center"/>
          </w:tcPr>
          <w:p>
            <w:pPr>
              <w:widowControl w:val="0"/>
              <w:jc w:val="center"/>
              <w:rPr>
                <w:rFonts w:ascii="等线" w:hAnsi="等线" w:eastAsia="等线" w:cs="等线"/>
                <w:sz w:val="20"/>
                <w:szCs w:val="20"/>
                <w:highlight w:val="none"/>
              </w:rPr>
            </w:pPr>
          </w:p>
        </w:tc>
        <w:tc>
          <w:tcPr>
            <w:tcW w:w="1170" w:type="dxa"/>
            <w:vAlign w:val="center"/>
          </w:tcPr>
          <w:p>
            <w:pPr>
              <w:widowControl w:val="0"/>
              <w:jc w:val="center"/>
              <w:rPr>
                <w:rFonts w:ascii="等线" w:hAnsi="等线" w:eastAsia="等线" w:cs="等线"/>
                <w:sz w:val="20"/>
                <w:szCs w:val="20"/>
                <w:highlight w:val="none"/>
              </w:rPr>
            </w:pPr>
          </w:p>
        </w:tc>
        <w:tc>
          <w:tcPr>
            <w:tcW w:w="1440" w:type="dxa"/>
            <w:vAlign w:val="center"/>
          </w:tcPr>
          <w:p>
            <w:pPr>
              <w:widowControl w:val="0"/>
              <w:jc w:val="center"/>
              <w:rPr>
                <w:rFonts w:ascii="等线" w:hAnsi="等线" w:eastAsia="等线" w:cs="等线"/>
                <w:sz w:val="20"/>
                <w:szCs w:val="20"/>
                <w:highlight w:val="none"/>
              </w:rPr>
            </w:pPr>
          </w:p>
        </w:tc>
        <w:tc>
          <w:tcPr>
            <w:tcW w:w="1587" w:type="dxa"/>
            <w:vAlign w:val="center"/>
          </w:tcPr>
          <w:p>
            <w:pPr>
              <w:widowControl w:val="0"/>
              <w:jc w:val="center"/>
              <w:rPr>
                <w:rFonts w:ascii="等线" w:hAnsi="等线" w:eastAsia="等线" w:cs="等线"/>
                <w:sz w:val="20"/>
                <w:szCs w:val="20"/>
                <w:highlight w:val="none"/>
              </w:rPr>
            </w:pPr>
          </w:p>
        </w:tc>
        <w:tc>
          <w:tcPr>
            <w:tcW w:w="1515" w:type="dxa"/>
            <w:vAlign w:val="center"/>
          </w:tcPr>
          <w:p>
            <w:pPr>
              <w:widowControl w:val="0"/>
              <w:jc w:val="center"/>
              <w:rPr>
                <w:rFonts w:ascii="等线" w:hAnsi="等线" w:eastAsia="等线" w:cs="等线"/>
                <w:sz w:val="20"/>
                <w:szCs w:val="20"/>
                <w:highlight w:val="none"/>
              </w:rPr>
            </w:pPr>
          </w:p>
        </w:tc>
        <w:tc>
          <w:tcPr>
            <w:tcW w:w="1173" w:type="dxa"/>
            <w:vAlign w:val="center"/>
          </w:tcPr>
          <w:p>
            <w:pPr>
              <w:widowControl w:val="0"/>
              <w:jc w:val="center"/>
              <w:rPr>
                <w:rFonts w:ascii="等线" w:hAnsi="等线" w:eastAsia="等线" w:cs="等线"/>
                <w:sz w:val="20"/>
                <w:szCs w:val="20"/>
                <w:highlight w:val="none"/>
              </w:rPr>
            </w:pPr>
          </w:p>
        </w:tc>
      </w:tr>
    </w:tbl>
    <w:p>
      <w:pPr>
        <w:pStyle w:val="8"/>
        <w:widowControl/>
        <w:spacing w:before="0" w:beforeAutospacing="0" w:after="0" w:afterAutospacing="0" w:line="500" w:lineRule="exact"/>
        <w:ind w:firstLine="560" w:firstLineChars="200"/>
        <w:jc w:val="both"/>
        <w:rPr>
          <w:rFonts w:hint="eastAsia" w:ascii="楷体" w:hAnsi="楷体" w:eastAsia="楷体" w:cs="楷体"/>
          <w:sz w:val="28"/>
          <w:szCs w:val="28"/>
        </w:rPr>
      </w:pPr>
    </w:p>
    <w:p>
      <w:pPr>
        <w:pStyle w:val="8"/>
        <w:widowControl/>
        <w:spacing w:before="0" w:beforeAutospacing="0" w:after="0" w:afterAutospacing="0" w:line="500" w:lineRule="exact"/>
        <w:ind w:firstLine="560" w:firstLineChars="200"/>
        <w:jc w:val="both"/>
        <w:rPr>
          <w:rFonts w:ascii="楷体" w:hAnsi="楷体" w:eastAsia="楷体" w:cs="楷体"/>
        </w:rPr>
      </w:pPr>
      <w:r>
        <w:rPr>
          <w:rFonts w:hint="eastAsia" w:ascii="楷体" w:hAnsi="楷体" w:eastAsia="楷体" w:cs="楷体"/>
          <w:sz w:val="28"/>
          <w:szCs w:val="28"/>
        </w:rPr>
        <w:t>注：本表一式四份，一份由村委会保存，一份由街道（</w:t>
      </w:r>
      <w:r>
        <w:rPr>
          <w:rFonts w:hint="eastAsia" w:ascii="楷体" w:hAnsi="楷体" w:eastAsia="楷体" w:cs="楷体"/>
          <w:sz w:val="28"/>
          <w:szCs w:val="28"/>
          <w:lang w:eastAsia="zh-CN"/>
        </w:rPr>
        <w:t>办事处</w:t>
      </w:r>
      <w:r>
        <w:rPr>
          <w:rFonts w:hint="eastAsia" w:ascii="楷体" w:hAnsi="楷体" w:eastAsia="楷体" w:cs="楷体"/>
          <w:sz w:val="28"/>
          <w:szCs w:val="28"/>
        </w:rPr>
        <w:t>）保存，两份交区农业</w:t>
      </w:r>
      <w:r>
        <w:rPr>
          <w:rFonts w:hint="eastAsia" w:ascii="楷体" w:hAnsi="楷体" w:eastAsia="楷体" w:cs="楷体"/>
          <w:sz w:val="28"/>
          <w:szCs w:val="28"/>
          <w:lang w:eastAsia="zh-CN"/>
        </w:rPr>
        <w:t>技术推广中心</w:t>
      </w:r>
      <w:r>
        <w:rPr>
          <w:rFonts w:hint="eastAsia" w:ascii="楷体" w:hAnsi="楷体" w:eastAsia="楷体" w:cs="楷体"/>
          <w:sz w:val="28"/>
          <w:szCs w:val="28"/>
        </w:rPr>
        <w:t>存档备案。</w:t>
      </w:r>
    </w:p>
    <w:p>
      <w:pPr>
        <w:pStyle w:val="8"/>
        <w:widowControl/>
        <w:spacing w:before="0" w:beforeAutospacing="0" w:after="0" w:afterAutospacing="0" w:line="500" w:lineRule="exact"/>
        <w:jc w:val="both"/>
        <w:rPr>
          <w:rFonts w:ascii="楷体" w:hAnsi="楷体" w:eastAsia="楷体" w:cs="楷体"/>
          <w:sz w:val="28"/>
          <w:szCs w:val="28"/>
        </w:rPr>
      </w:pPr>
    </w:p>
    <w:p>
      <w:pPr>
        <w:pStyle w:val="8"/>
        <w:widowControl/>
        <w:spacing w:before="0" w:beforeAutospacing="0" w:after="0" w:afterAutospacing="0" w:line="500" w:lineRule="exact"/>
        <w:jc w:val="both"/>
        <w:rPr>
          <w:rFonts w:ascii="仿宋" w:hAnsi="仿宋" w:eastAsia="仿宋"/>
          <w:sz w:val="28"/>
          <w:szCs w:val="28"/>
        </w:rPr>
      </w:pPr>
      <w:r>
        <w:rPr>
          <w:rFonts w:hint="eastAsia" w:ascii="仿宋" w:hAnsi="仿宋" w:eastAsia="仿宋" w:cs="仿宋"/>
          <w:sz w:val="28"/>
          <w:szCs w:val="28"/>
        </w:rPr>
        <w:t>经办人（签字）：            村委会负责人（签字）：            街道</w:t>
      </w:r>
      <w:r>
        <w:rPr>
          <w:rFonts w:hint="eastAsia" w:ascii="仿宋" w:hAnsi="仿宋" w:eastAsia="仿宋" w:cs="仿宋"/>
          <w:sz w:val="28"/>
          <w:szCs w:val="28"/>
          <w:lang w:eastAsia="zh-CN"/>
        </w:rPr>
        <w:t>（办事处</w:t>
      </w:r>
      <w:r>
        <w:rPr>
          <w:rFonts w:hint="eastAsia" w:ascii="仿宋" w:hAnsi="仿宋" w:eastAsia="仿宋" w:cs="仿宋"/>
          <w:sz w:val="28"/>
          <w:szCs w:val="28"/>
        </w:rPr>
        <w:t>）负责人（签字、盖章）：</w:t>
      </w:r>
    </w:p>
    <w:p>
      <w:pPr>
        <w:pStyle w:val="8"/>
        <w:widowControl/>
        <w:spacing w:before="0" w:beforeAutospacing="0" w:after="0" w:afterAutospacing="0" w:line="500" w:lineRule="exact"/>
        <w:jc w:val="both"/>
        <w:rPr>
          <w:rFonts w:hint="eastAsia" w:ascii="仿宋" w:hAnsi="仿宋" w:eastAsia="仿宋"/>
          <w:sz w:val="32"/>
          <w:szCs w:val="32"/>
        </w:rPr>
      </w:pPr>
    </w:p>
    <w:p>
      <w:pPr>
        <w:pStyle w:val="8"/>
        <w:widowControl/>
        <w:spacing w:before="0" w:beforeAutospacing="0" w:after="0" w:afterAutospacing="0" w:line="500" w:lineRule="exact"/>
        <w:jc w:val="both"/>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2</w:t>
      </w:r>
    </w:p>
    <w:p>
      <w:pPr>
        <w:pStyle w:val="8"/>
        <w:widowControl/>
        <w:spacing w:before="0" w:beforeAutospacing="0" w:after="0" w:afterAutospacing="0"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年江夏区市级油菜轮作</w:t>
      </w:r>
      <w:r>
        <w:rPr>
          <w:rFonts w:hint="eastAsia" w:ascii="方正小标宋简体" w:hAnsi="方正小标宋简体" w:eastAsia="方正小标宋简体" w:cs="方正小标宋简体"/>
          <w:sz w:val="44"/>
          <w:szCs w:val="44"/>
          <w:lang w:eastAsia="zh-CN"/>
        </w:rPr>
        <w:t>示范项目面积验收</w:t>
      </w:r>
      <w:r>
        <w:rPr>
          <w:rFonts w:hint="eastAsia" w:ascii="方正小标宋简体" w:hAnsi="方正小标宋简体" w:eastAsia="方正小标宋简体" w:cs="方正小标宋简体"/>
          <w:sz w:val="44"/>
          <w:szCs w:val="44"/>
        </w:rPr>
        <w:t>单</w:t>
      </w:r>
    </w:p>
    <w:p>
      <w:pPr>
        <w:pStyle w:val="8"/>
        <w:widowControl/>
        <w:spacing w:before="0" w:beforeAutospacing="0" w:after="0" w:afterAutospacing="0" w:line="500" w:lineRule="exact"/>
        <w:jc w:val="center"/>
        <w:rPr>
          <w:rFonts w:ascii="方正小标宋简体" w:hAnsi="方正小标宋简体" w:eastAsia="方正小标宋简体" w:cs="方正小标宋简体"/>
          <w:sz w:val="44"/>
          <w:szCs w:val="44"/>
        </w:rPr>
      </w:pPr>
    </w:p>
    <w:p>
      <w:pPr>
        <w:pStyle w:val="8"/>
        <w:widowControl/>
        <w:spacing w:before="0" w:beforeAutospacing="0" w:after="0" w:afterAutospacing="0" w:line="500" w:lineRule="exact"/>
        <w:jc w:val="both"/>
        <w:rPr>
          <w:rFonts w:ascii="仿宋" w:hAnsi="仿宋" w:eastAsia="仿宋"/>
          <w:sz w:val="28"/>
          <w:szCs w:val="28"/>
        </w:rPr>
      </w:pPr>
      <w:r>
        <w:rPr>
          <w:rFonts w:hint="eastAsia" w:ascii="仿宋" w:hAnsi="仿宋" w:eastAsia="仿宋" w:cs="仿宋"/>
        </w:rPr>
        <w:t>江夏区      街道</w:t>
      </w:r>
      <w:r>
        <w:rPr>
          <w:rFonts w:hint="eastAsia" w:ascii="仿宋" w:hAnsi="仿宋" w:eastAsia="仿宋" w:cs="仿宋"/>
          <w:lang w:eastAsia="zh-CN"/>
        </w:rPr>
        <w:t>（办事处</w:t>
      </w:r>
      <w:r>
        <w:rPr>
          <w:rFonts w:hint="eastAsia" w:ascii="仿宋" w:hAnsi="仿宋" w:eastAsia="仿宋" w:cs="仿宋"/>
        </w:rPr>
        <w:t>）        村（盖章）       填写日期：    年  月  日       街道经办人：            联系电话：</w:t>
      </w:r>
    </w:p>
    <w:tbl>
      <w:tblPr>
        <w:tblStyle w:val="9"/>
        <w:tblW w:w="14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07"/>
        <w:gridCol w:w="1500"/>
        <w:gridCol w:w="2670"/>
        <w:gridCol w:w="2295"/>
        <w:gridCol w:w="1618"/>
        <w:gridCol w:w="1200"/>
        <w:gridCol w:w="1652"/>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65" w:type="dxa"/>
            <w:vAlign w:val="center"/>
          </w:tcPr>
          <w:p>
            <w:pPr>
              <w:pStyle w:val="8"/>
              <w:spacing w:before="0" w:beforeAutospacing="0" w:after="0" w:afterAutospacing="0" w:line="300" w:lineRule="exact"/>
              <w:jc w:val="center"/>
              <w:rPr>
                <w:rFonts w:ascii="黑体" w:hAnsi="黑体" w:eastAsia="黑体" w:cs="黑体"/>
                <w:bCs/>
              </w:rPr>
            </w:pPr>
            <w:r>
              <w:rPr>
                <w:rFonts w:hint="eastAsia" w:ascii="黑体" w:hAnsi="黑体" w:eastAsia="黑体" w:cs="黑体"/>
                <w:bCs/>
              </w:rPr>
              <w:t>序号</w:t>
            </w:r>
          </w:p>
        </w:tc>
        <w:tc>
          <w:tcPr>
            <w:tcW w:w="1307" w:type="dxa"/>
            <w:vAlign w:val="center"/>
          </w:tcPr>
          <w:p>
            <w:pPr>
              <w:adjustRightInd w:val="0"/>
              <w:snapToGrid w:val="0"/>
              <w:spacing w:line="300" w:lineRule="exact"/>
              <w:jc w:val="center"/>
              <w:rPr>
                <w:rFonts w:ascii="黑体" w:hAnsi="黑体" w:eastAsia="黑体" w:cs="黑体"/>
                <w:bCs/>
                <w:kern w:val="0"/>
                <w:sz w:val="24"/>
                <w:szCs w:val="24"/>
              </w:rPr>
            </w:pPr>
            <w:r>
              <w:rPr>
                <w:rFonts w:hint="eastAsia" w:ascii="黑体" w:hAnsi="黑体" w:eastAsia="黑体" w:cs="黑体"/>
                <w:bCs/>
                <w:kern w:val="0"/>
                <w:sz w:val="24"/>
                <w:szCs w:val="24"/>
                <w:lang w:eastAsia="zh-CN"/>
              </w:rPr>
              <w:t>示范</w:t>
            </w:r>
            <w:r>
              <w:rPr>
                <w:rFonts w:hint="eastAsia" w:ascii="黑体" w:hAnsi="黑体" w:eastAsia="黑体" w:cs="黑体"/>
                <w:bCs/>
                <w:kern w:val="0"/>
                <w:sz w:val="24"/>
                <w:szCs w:val="24"/>
              </w:rPr>
              <w:t>区域</w:t>
            </w:r>
          </w:p>
        </w:tc>
        <w:tc>
          <w:tcPr>
            <w:tcW w:w="1500" w:type="dxa"/>
            <w:vAlign w:val="center"/>
          </w:tcPr>
          <w:p>
            <w:pPr>
              <w:adjustRightInd w:val="0"/>
              <w:snapToGrid w:val="0"/>
              <w:spacing w:line="300" w:lineRule="exact"/>
              <w:jc w:val="center"/>
              <w:rPr>
                <w:rFonts w:ascii="黑体" w:hAnsi="黑体" w:eastAsia="黑体" w:cs="黑体"/>
                <w:bCs/>
                <w:kern w:val="0"/>
                <w:sz w:val="24"/>
                <w:szCs w:val="24"/>
              </w:rPr>
            </w:pPr>
            <w:r>
              <w:rPr>
                <w:rFonts w:hint="eastAsia" w:ascii="黑体" w:hAnsi="黑体" w:eastAsia="黑体" w:cs="黑体"/>
                <w:bCs/>
                <w:kern w:val="0"/>
                <w:sz w:val="24"/>
                <w:szCs w:val="24"/>
              </w:rPr>
              <w:t>村（组）名称</w:t>
            </w:r>
          </w:p>
        </w:tc>
        <w:tc>
          <w:tcPr>
            <w:tcW w:w="2670" w:type="dxa"/>
            <w:vAlign w:val="center"/>
          </w:tcPr>
          <w:p>
            <w:pPr>
              <w:adjustRightInd w:val="0"/>
              <w:snapToGrid w:val="0"/>
              <w:spacing w:line="300" w:lineRule="exact"/>
              <w:jc w:val="center"/>
              <w:rPr>
                <w:rFonts w:hint="eastAsia" w:ascii="黑体" w:hAnsi="黑体" w:eastAsia="黑体" w:cs="黑体"/>
                <w:bCs/>
                <w:kern w:val="0"/>
                <w:sz w:val="24"/>
                <w:szCs w:val="24"/>
                <w:lang w:eastAsia="zh-CN"/>
              </w:rPr>
            </w:pPr>
            <w:r>
              <w:rPr>
                <w:rFonts w:hint="eastAsia" w:ascii="黑体" w:hAnsi="黑体" w:eastAsia="黑体" w:cs="黑体"/>
                <w:bCs/>
                <w:kern w:val="0"/>
                <w:sz w:val="24"/>
                <w:szCs w:val="24"/>
                <w:lang w:eastAsia="zh-CN"/>
              </w:rPr>
              <w:t>农户或新型经营主体负责人姓名</w:t>
            </w:r>
          </w:p>
        </w:tc>
        <w:tc>
          <w:tcPr>
            <w:tcW w:w="2295" w:type="dxa"/>
            <w:vAlign w:val="center"/>
          </w:tcPr>
          <w:p>
            <w:pPr>
              <w:adjustRightInd w:val="0"/>
              <w:snapToGrid w:val="0"/>
              <w:spacing w:line="300" w:lineRule="exact"/>
              <w:jc w:val="center"/>
              <w:rPr>
                <w:rFonts w:hint="eastAsia" w:ascii="黑体" w:hAnsi="黑体" w:eastAsia="黑体" w:cs="黑体"/>
                <w:bCs/>
                <w:kern w:val="0"/>
                <w:sz w:val="24"/>
                <w:szCs w:val="24"/>
                <w:lang w:eastAsia="zh-CN"/>
              </w:rPr>
            </w:pPr>
            <w:r>
              <w:rPr>
                <w:rFonts w:hint="eastAsia" w:ascii="黑体" w:hAnsi="黑体" w:eastAsia="黑体" w:cs="黑体"/>
                <w:bCs/>
                <w:kern w:val="0"/>
                <w:sz w:val="24"/>
                <w:szCs w:val="24"/>
                <w:lang w:eastAsia="zh-CN"/>
              </w:rPr>
              <w:t>承担项目面积（亩）</w:t>
            </w:r>
          </w:p>
        </w:tc>
        <w:tc>
          <w:tcPr>
            <w:tcW w:w="1618" w:type="dxa"/>
            <w:vAlign w:val="center"/>
          </w:tcPr>
          <w:p>
            <w:pPr>
              <w:adjustRightInd w:val="0"/>
              <w:snapToGrid w:val="0"/>
              <w:spacing w:line="300" w:lineRule="exact"/>
              <w:jc w:val="center"/>
              <w:rPr>
                <w:rFonts w:hint="eastAsia" w:ascii="黑体" w:hAnsi="黑体" w:eastAsia="黑体" w:cs="黑体"/>
                <w:bCs/>
                <w:kern w:val="0"/>
                <w:sz w:val="24"/>
                <w:szCs w:val="24"/>
                <w:lang w:eastAsia="zh-CN"/>
              </w:rPr>
            </w:pPr>
            <w:r>
              <w:rPr>
                <w:rFonts w:hint="eastAsia" w:ascii="黑体" w:hAnsi="黑体" w:eastAsia="黑体" w:cs="黑体"/>
                <w:bCs/>
                <w:kern w:val="0"/>
                <w:sz w:val="24"/>
                <w:szCs w:val="24"/>
                <w:lang w:eastAsia="zh-CN"/>
              </w:rPr>
              <w:t>完成项目面积（亩）</w:t>
            </w:r>
          </w:p>
        </w:tc>
        <w:tc>
          <w:tcPr>
            <w:tcW w:w="1200" w:type="dxa"/>
            <w:vAlign w:val="center"/>
          </w:tcPr>
          <w:p>
            <w:pPr>
              <w:adjustRightInd w:val="0"/>
              <w:snapToGrid w:val="0"/>
              <w:spacing w:line="300" w:lineRule="exact"/>
              <w:jc w:val="center"/>
              <w:rPr>
                <w:rFonts w:hint="eastAsia" w:ascii="黑体" w:hAnsi="黑体" w:eastAsia="黑体" w:cs="黑体"/>
                <w:bCs/>
                <w:kern w:val="0"/>
                <w:sz w:val="24"/>
                <w:szCs w:val="24"/>
                <w:lang w:eastAsia="zh-CN"/>
              </w:rPr>
            </w:pPr>
            <w:r>
              <w:rPr>
                <w:rFonts w:hint="eastAsia" w:ascii="黑体" w:hAnsi="黑体" w:eastAsia="黑体" w:cs="黑体"/>
                <w:bCs/>
                <w:kern w:val="0"/>
                <w:sz w:val="24"/>
                <w:szCs w:val="24"/>
                <w:lang w:eastAsia="zh-CN"/>
              </w:rPr>
              <w:t>联系电话</w:t>
            </w:r>
          </w:p>
        </w:tc>
        <w:tc>
          <w:tcPr>
            <w:tcW w:w="1652" w:type="dxa"/>
            <w:vAlign w:val="center"/>
          </w:tcPr>
          <w:p>
            <w:pPr>
              <w:adjustRightInd w:val="0"/>
              <w:snapToGrid w:val="0"/>
              <w:spacing w:line="300" w:lineRule="exact"/>
              <w:jc w:val="center"/>
              <w:rPr>
                <w:rFonts w:ascii="黑体" w:hAnsi="黑体" w:eastAsia="黑体" w:cs="黑体"/>
                <w:bCs/>
                <w:kern w:val="0"/>
                <w:sz w:val="24"/>
                <w:szCs w:val="24"/>
              </w:rPr>
            </w:pPr>
            <w:r>
              <w:rPr>
                <w:rFonts w:hint="eastAsia" w:ascii="黑体" w:hAnsi="黑体" w:eastAsia="黑体" w:cs="黑体"/>
                <w:bCs/>
                <w:kern w:val="0"/>
                <w:sz w:val="24"/>
                <w:szCs w:val="24"/>
                <w:lang w:eastAsia="zh-CN"/>
              </w:rPr>
              <w:t>签字</w:t>
            </w:r>
          </w:p>
        </w:tc>
        <w:tc>
          <w:tcPr>
            <w:tcW w:w="1153" w:type="dxa"/>
            <w:vAlign w:val="center"/>
          </w:tcPr>
          <w:p>
            <w:pPr>
              <w:adjustRightInd w:val="0"/>
              <w:snapToGrid w:val="0"/>
              <w:spacing w:line="300" w:lineRule="exact"/>
              <w:jc w:val="center"/>
              <w:rPr>
                <w:rFonts w:ascii="黑体" w:hAnsi="黑体" w:eastAsia="黑体" w:cs="黑体"/>
                <w:bCs/>
                <w:kern w:val="0"/>
                <w:sz w:val="24"/>
                <w:szCs w:val="24"/>
              </w:rPr>
            </w:pPr>
            <w:r>
              <w:rPr>
                <w:rFonts w:hint="eastAsia" w:ascii="黑体" w:hAnsi="黑体" w:eastAsia="黑体" w:cs="黑体"/>
                <w:bCs/>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307"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50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267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2295"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618"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20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652"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153"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307"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50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267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2295"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618"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20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652"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153"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307"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50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267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2295"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618"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20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652"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153"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307"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50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267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2295"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618"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20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652"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153"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307"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50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267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2295"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618"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20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652"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153"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307"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50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267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2295"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618"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20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652"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153"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307"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50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267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2295"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618"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200"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652"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c>
          <w:tcPr>
            <w:tcW w:w="1153" w:type="dxa"/>
            <w:vAlign w:val="center"/>
          </w:tcPr>
          <w:p>
            <w:pPr>
              <w:pStyle w:val="8"/>
              <w:spacing w:before="0" w:beforeAutospacing="0" w:after="0" w:afterAutospacing="0" w:line="300" w:lineRule="exact"/>
              <w:jc w:val="center"/>
              <w:rPr>
                <w:rFonts w:asciiTheme="minorEastAsia" w:hAnsiTheme="minorEastAsia" w:eastAsiaTheme="minorEastAsia" w:cstheme="minorEastAsia"/>
              </w:rPr>
            </w:pPr>
          </w:p>
        </w:tc>
      </w:tr>
    </w:tbl>
    <w:p>
      <w:pPr>
        <w:pStyle w:val="8"/>
        <w:widowControl/>
        <w:spacing w:before="0" w:beforeAutospacing="0" w:after="0" w:afterAutospacing="0" w:line="500" w:lineRule="exact"/>
        <w:ind w:firstLine="560" w:firstLineChars="200"/>
        <w:jc w:val="both"/>
        <w:rPr>
          <w:rFonts w:hint="eastAsia" w:ascii="楷体" w:hAnsi="楷体" w:eastAsia="楷体" w:cs="楷体"/>
          <w:sz w:val="28"/>
          <w:szCs w:val="28"/>
        </w:rPr>
      </w:pPr>
    </w:p>
    <w:p>
      <w:pPr>
        <w:pStyle w:val="8"/>
        <w:widowControl/>
        <w:spacing w:before="0" w:beforeAutospacing="0" w:after="0" w:afterAutospacing="0" w:line="500" w:lineRule="exact"/>
        <w:ind w:firstLine="560" w:firstLineChars="200"/>
        <w:jc w:val="both"/>
        <w:rPr>
          <w:rFonts w:ascii="仿宋" w:hAnsi="仿宋" w:eastAsia="仿宋"/>
        </w:rPr>
      </w:pPr>
      <w:r>
        <w:rPr>
          <w:rFonts w:hint="eastAsia" w:ascii="楷体" w:hAnsi="楷体" w:eastAsia="楷体" w:cs="楷体"/>
          <w:sz w:val="28"/>
          <w:szCs w:val="28"/>
        </w:rPr>
        <w:t>注：1.本表一式三份，一份由村委会保存，一份用于街道</w:t>
      </w:r>
      <w:r>
        <w:rPr>
          <w:rFonts w:hint="eastAsia" w:ascii="楷体" w:hAnsi="楷体" w:eastAsia="楷体" w:cs="楷体"/>
          <w:sz w:val="28"/>
          <w:szCs w:val="28"/>
          <w:lang w:eastAsia="zh-CN"/>
        </w:rPr>
        <w:t>（办事处</w:t>
      </w:r>
      <w:r>
        <w:rPr>
          <w:rFonts w:hint="eastAsia" w:ascii="楷体" w:hAnsi="楷体" w:eastAsia="楷体" w:cs="楷体"/>
          <w:sz w:val="28"/>
          <w:szCs w:val="28"/>
        </w:rPr>
        <w:t>）汇总公示，一份交区农业</w:t>
      </w:r>
      <w:r>
        <w:rPr>
          <w:rFonts w:hint="eastAsia" w:ascii="楷体" w:hAnsi="楷体" w:eastAsia="楷体" w:cs="楷体"/>
          <w:sz w:val="28"/>
          <w:szCs w:val="28"/>
          <w:lang w:eastAsia="zh-CN"/>
        </w:rPr>
        <w:t>技术推广中心</w:t>
      </w:r>
      <w:r>
        <w:rPr>
          <w:rFonts w:hint="eastAsia" w:ascii="楷体" w:hAnsi="楷体" w:eastAsia="楷体" w:cs="楷体"/>
          <w:sz w:val="28"/>
          <w:szCs w:val="28"/>
        </w:rPr>
        <w:t>存档备案；2. 街道</w:t>
      </w:r>
      <w:r>
        <w:rPr>
          <w:rFonts w:hint="eastAsia" w:ascii="楷体" w:hAnsi="楷体" w:eastAsia="楷体" w:cs="楷体"/>
          <w:sz w:val="28"/>
          <w:szCs w:val="28"/>
          <w:lang w:eastAsia="zh-CN"/>
        </w:rPr>
        <w:t>（办事处</w:t>
      </w:r>
      <w:r>
        <w:rPr>
          <w:rFonts w:hint="eastAsia" w:ascii="楷体" w:hAnsi="楷体" w:eastAsia="楷体" w:cs="楷体"/>
          <w:sz w:val="28"/>
          <w:szCs w:val="28"/>
        </w:rPr>
        <w:t>）汇总公示表需村负责人和街道</w:t>
      </w:r>
      <w:r>
        <w:rPr>
          <w:rFonts w:hint="eastAsia" w:ascii="楷体" w:hAnsi="楷体" w:eastAsia="楷体" w:cs="楷体"/>
          <w:sz w:val="28"/>
          <w:szCs w:val="28"/>
          <w:lang w:eastAsia="zh-CN"/>
        </w:rPr>
        <w:t>（办事处</w:t>
      </w:r>
      <w:r>
        <w:rPr>
          <w:rFonts w:hint="eastAsia" w:ascii="楷体" w:hAnsi="楷体" w:eastAsia="楷体" w:cs="楷体"/>
          <w:sz w:val="28"/>
          <w:szCs w:val="28"/>
        </w:rPr>
        <w:t>）负责人共同签字；3.公示时间不少于7天。</w:t>
      </w:r>
    </w:p>
    <w:p>
      <w:pPr>
        <w:widowControl/>
        <w:adjustRightInd w:val="0"/>
        <w:snapToGrid w:val="0"/>
        <w:spacing w:line="500" w:lineRule="exact"/>
        <w:jc w:val="left"/>
        <w:rPr>
          <w:rFonts w:hint="eastAsia" w:ascii="仿宋" w:hAnsi="仿宋" w:eastAsia="仿宋" w:cs="仿宋"/>
          <w:sz w:val="28"/>
          <w:szCs w:val="28"/>
        </w:rPr>
      </w:pPr>
      <w:r>
        <w:rPr>
          <w:rFonts w:hint="eastAsia" w:ascii="仿宋" w:hAnsi="仿宋" w:eastAsia="仿宋" w:cs="仿宋"/>
          <w:sz w:val="28"/>
          <w:szCs w:val="28"/>
        </w:rPr>
        <w:t>区审核小组成员（签字）：             村委会（签字、盖章）：             街道（</w:t>
      </w:r>
      <w:r>
        <w:rPr>
          <w:rFonts w:hint="eastAsia" w:ascii="仿宋" w:hAnsi="仿宋" w:eastAsia="仿宋" w:cs="仿宋"/>
          <w:sz w:val="28"/>
          <w:szCs w:val="28"/>
          <w:lang w:eastAsia="zh-CN"/>
        </w:rPr>
        <w:t>办事处）</w:t>
      </w:r>
      <w:r>
        <w:rPr>
          <w:rFonts w:hint="eastAsia" w:ascii="仿宋" w:hAnsi="仿宋" w:eastAsia="仿宋" w:cs="仿宋"/>
          <w:sz w:val="28"/>
          <w:szCs w:val="28"/>
        </w:rPr>
        <w:t>（签字、盖章）：</w:t>
      </w:r>
    </w:p>
    <w:p>
      <w:pPr>
        <w:pStyle w:val="8"/>
        <w:widowControl/>
        <w:spacing w:before="0" w:beforeAutospacing="0" w:after="0" w:afterAutospacing="0" w:line="500" w:lineRule="exact"/>
        <w:jc w:val="both"/>
        <w:rPr>
          <w:rFonts w:hint="eastAsia" w:ascii="仿宋" w:hAnsi="仿宋" w:eastAsia="仿宋"/>
          <w:sz w:val="32"/>
          <w:szCs w:val="32"/>
        </w:rPr>
      </w:pPr>
    </w:p>
    <w:p>
      <w:pPr>
        <w:pStyle w:val="8"/>
        <w:widowControl/>
        <w:spacing w:before="0" w:beforeAutospacing="0" w:after="0" w:afterAutospacing="0" w:line="500" w:lineRule="exact"/>
        <w:jc w:val="both"/>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3</w:t>
      </w:r>
    </w:p>
    <w:p>
      <w:pPr>
        <w:pStyle w:val="8"/>
        <w:widowControl/>
        <w:spacing w:before="0" w:beforeAutospacing="0" w:after="0" w:afterAutospacing="0" w:line="5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年江夏区市级油菜轮作</w:t>
      </w:r>
      <w:r>
        <w:rPr>
          <w:rFonts w:hint="eastAsia" w:ascii="方正小标宋简体" w:hAnsi="仿宋" w:eastAsia="方正小标宋简体"/>
          <w:sz w:val="44"/>
          <w:szCs w:val="44"/>
          <w:lang w:eastAsia="zh-CN"/>
        </w:rPr>
        <w:t>示范项目机械化</w:t>
      </w:r>
      <w:r>
        <w:rPr>
          <w:rFonts w:hint="eastAsia" w:ascii="方正小标宋简体" w:hAnsi="仿宋" w:eastAsia="方正小标宋简体"/>
          <w:sz w:val="44"/>
          <w:szCs w:val="44"/>
        </w:rPr>
        <w:t xml:space="preserve">作业补助资金明细表 </w:t>
      </w:r>
    </w:p>
    <w:p>
      <w:pPr>
        <w:pStyle w:val="8"/>
        <w:widowControl/>
        <w:spacing w:before="0" w:beforeAutospacing="0" w:after="0" w:afterAutospacing="0" w:line="500" w:lineRule="exact"/>
        <w:jc w:val="center"/>
        <w:rPr>
          <w:rFonts w:ascii="方正小标宋简体" w:hAnsi="仿宋" w:eastAsia="方正小标宋简体"/>
          <w:sz w:val="44"/>
          <w:szCs w:val="44"/>
        </w:rPr>
      </w:pPr>
    </w:p>
    <w:p>
      <w:pPr>
        <w:pStyle w:val="8"/>
        <w:widowControl/>
        <w:spacing w:before="0" w:beforeAutospacing="0" w:after="0" w:afterAutospacing="0" w:line="500" w:lineRule="exact"/>
        <w:jc w:val="both"/>
        <w:rPr>
          <w:rFonts w:ascii="楷体_GB2312" w:hAnsi="仿宋" w:eastAsia="楷体_GB2312"/>
          <w:sz w:val="28"/>
          <w:szCs w:val="28"/>
        </w:rPr>
      </w:pPr>
      <w:r>
        <w:rPr>
          <w:rFonts w:hint="eastAsia" w:ascii="楷体_GB2312" w:hAnsi="仿宋" w:eastAsia="楷体_GB2312"/>
          <w:sz w:val="28"/>
          <w:szCs w:val="28"/>
        </w:rPr>
        <w:t>区农业</w:t>
      </w:r>
      <w:r>
        <w:rPr>
          <w:rFonts w:hint="eastAsia" w:ascii="楷体_GB2312" w:hAnsi="仿宋" w:eastAsia="楷体_GB2312"/>
          <w:sz w:val="28"/>
          <w:szCs w:val="28"/>
          <w:lang w:eastAsia="zh-CN"/>
        </w:rPr>
        <w:t>技术推广中心</w:t>
      </w:r>
      <w:r>
        <w:rPr>
          <w:rFonts w:hint="eastAsia" w:ascii="楷体_GB2312" w:hAnsi="仿宋" w:eastAsia="楷体_GB2312"/>
          <w:sz w:val="28"/>
          <w:szCs w:val="28"/>
        </w:rPr>
        <w:t>（签字、盖章）：         经办人：        街道（</w:t>
      </w:r>
      <w:r>
        <w:rPr>
          <w:rFonts w:hint="eastAsia" w:ascii="楷体_GB2312" w:hAnsi="仿宋" w:eastAsia="楷体_GB2312"/>
          <w:sz w:val="28"/>
          <w:szCs w:val="28"/>
          <w:lang w:eastAsia="zh-CN"/>
        </w:rPr>
        <w:t>办事处）</w:t>
      </w:r>
      <w:r>
        <w:rPr>
          <w:rFonts w:hint="eastAsia" w:ascii="楷体_GB2312" w:hAnsi="仿宋" w:eastAsia="楷体_GB2312"/>
          <w:sz w:val="28"/>
          <w:szCs w:val="28"/>
        </w:rPr>
        <w:t>（签字、盖章）：        经办人：</w:t>
      </w:r>
    </w:p>
    <w:tbl>
      <w:tblPr>
        <w:tblStyle w:val="9"/>
        <w:tblW w:w="153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50"/>
        <w:gridCol w:w="1987"/>
        <w:gridCol w:w="1878"/>
        <w:gridCol w:w="1763"/>
        <w:gridCol w:w="1442"/>
        <w:gridCol w:w="1215"/>
        <w:gridCol w:w="1770"/>
        <w:gridCol w:w="1596"/>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76" w:type="dxa"/>
            <w:vAlign w:val="center"/>
          </w:tcPr>
          <w:p>
            <w:pPr>
              <w:pStyle w:val="8"/>
              <w:widowControl/>
              <w:spacing w:before="0" w:beforeAutospacing="0" w:after="0" w:afterAutospacing="0" w:line="340" w:lineRule="exact"/>
              <w:jc w:val="center"/>
              <w:rPr>
                <w:rFonts w:ascii="黑体" w:hAnsi="黑体" w:eastAsia="黑体" w:cs="黑体"/>
                <w:bCs/>
              </w:rPr>
            </w:pPr>
            <w:r>
              <w:rPr>
                <w:rFonts w:hint="eastAsia" w:ascii="黑体" w:hAnsi="黑体" w:eastAsia="黑体" w:cs="黑体"/>
                <w:bCs/>
              </w:rPr>
              <w:t>序号</w:t>
            </w:r>
          </w:p>
        </w:tc>
        <w:tc>
          <w:tcPr>
            <w:tcW w:w="1850" w:type="dxa"/>
            <w:vAlign w:val="center"/>
          </w:tcPr>
          <w:p>
            <w:pPr>
              <w:pStyle w:val="8"/>
              <w:widowControl/>
              <w:spacing w:before="0" w:beforeAutospacing="0" w:after="0" w:afterAutospacing="0" w:line="340" w:lineRule="exact"/>
              <w:jc w:val="center"/>
              <w:rPr>
                <w:rFonts w:hint="eastAsia" w:ascii="黑体" w:hAnsi="黑体" w:eastAsia="黑体" w:cs="黑体"/>
                <w:bCs/>
              </w:rPr>
            </w:pPr>
            <w:r>
              <w:rPr>
                <w:rFonts w:hint="eastAsia" w:ascii="黑体" w:hAnsi="黑体" w:eastAsia="黑体" w:cs="黑体"/>
                <w:bCs/>
                <w:lang w:eastAsia="zh-CN"/>
              </w:rPr>
              <w:t>示范</w:t>
            </w:r>
            <w:r>
              <w:rPr>
                <w:rFonts w:hint="eastAsia" w:ascii="黑体" w:hAnsi="黑体" w:eastAsia="黑体" w:cs="黑体"/>
                <w:bCs/>
              </w:rPr>
              <w:t>区域</w:t>
            </w:r>
          </w:p>
          <w:p>
            <w:pPr>
              <w:pStyle w:val="8"/>
              <w:widowControl/>
              <w:spacing w:before="0" w:beforeAutospacing="0" w:after="0" w:afterAutospacing="0" w:line="340" w:lineRule="exact"/>
              <w:jc w:val="center"/>
              <w:rPr>
                <w:rFonts w:ascii="黑体" w:hAnsi="黑体" w:eastAsia="黑体" w:cs="黑体"/>
                <w:bCs/>
              </w:rPr>
            </w:pPr>
            <w:r>
              <w:rPr>
                <w:rFonts w:hint="eastAsia" w:ascii="黑体" w:hAnsi="黑体" w:eastAsia="黑体" w:cs="黑体"/>
                <w:bCs/>
              </w:rPr>
              <w:t>（街村组）</w:t>
            </w:r>
          </w:p>
        </w:tc>
        <w:tc>
          <w:tcPr>
            <w:tcW w:w="1987" w:type="dxa"/>
            <w:vAlign w:val="center"/>
          </w:tcPr>
          <w:p>
            <w:pPr>
              <w:pStyle w:val="8"/>
              <w:widowControl/>
              <w:spacing w:before="0" w:beforeAutospacing="0" w:after="0" w:afterAutospacing="0" w:line="340" w:lineRule="exact"/>
              <w:jc w:val="center"/>
              <w:rPr>
                <w:rFonts w:ascii="黑体" w:hAnsi="黑体" w:eastAsia="黑体" w:cs="黑体"/>
                <w:bCs/>
              </w:rPr>
            </w:pPr>
            <w:r>
              <w:rPr>
                <w:rFonts w:hint="eastAsia" w:ascii="黑体" w:hAnsi="黑体" w:eastAsia="黑体" w:cs="黑体"/>
                <w:bCs/>
                <w:lang w:eastAsia="zh-CN"/>
              </w:rPr>
              <w:t>农户或新型经营主体</w:t>
            </w:r>
            <w:r>
              <w:rPr>
                <w:rFonts w:hint="eastAsia" w:ascii="黑体" w:hAnsi="黑体" w:eastAsia="黑体" w:cs="黑体"/>
                <w:bCs/>
              </w:rPr>
              <w:t>负责人姓名</w:t>
            </w:r>
          </w:p>
        </w:tc>
        <w:tc>
          <w:tcPr>
            <w:tcW w:w="1878" w:type="dxa"/>
            <w:vAlign w:val="center"/>
          </w:tcPr>
          <w:p>
            <w:pPr>
              <w:pStyle w:val="8"/>
              <w:widowControl/>
              <w:spacing w:before="0" w:beforeAutospacing="0" w:after="0" w:afterAutospacing="0" w:line="340" w:lineRule="exact"/>
              <w:jc w:val="center"/>
              <w:rPr>
                <w:rFonts w:ascii="黑体" w:hAnsi="黑体" w:eastAsia="黑体" w:cs="黑体"/>
                <w:bCs/>
              </w:rPr>
            </w:pPr>
            <w:r>
              <w:rPr>
                <w:rFonts w:hint="eastAsia" w:ascii="黑体" w:hAnsi="黑体" w:eastAsia="黑体" w:cs="黑体"/>
                <w:bCs/>
              </w:rPr>
              <w:t>开户行及账号</w:t>
            </w:r>
          </w:p>
        </w:tc>
        <w:tc>
          <w:tcPr>
            <w:tcW w:w="1763" w:type="dxa"/>
            <w:vAlign w:val="center"/>
          </w:tcPr>
          <w:p>
            <w:pPr>
              <w:pStyle w:val="8"/>
              <w:widowControl/>
              <w:spacing w:before="0" w:beforeAutospacing="0" w:after="0" w:afterAutospacing="0" w:line="340" w:lineRule="exact"/>
              <w:jc w:val="center"/>
              <w:rPr>
                <w:rFonts w:ascii="黑体" w:hAnsi="黑体" w:eastAsia="黑体" w:cs="黑体"/>
                <w:bCs/>
              </w:rPr>
            </w:pPr>
            <w:r>
              <w:rPr>
                <w:rFonts w:hint="eastAsia" w:ascii="黑体" w:hAnsi="黑体" w:eastAsia="黑体" w:cs="黑体"/>
                <w:bCs/>
              </w:rPr>
              <w:t>身份证号码</w:t>
            </w:r>
          </w:p>
        </w:tc>
        <w:tc>
          <w:tcPr>
            <w:tcW w:w="1442" w:type="dxa"/>
            <w:vAlign w:val="center"/>
          </w:tcPr>
          <w:p>
            <w:pPr>
              <w:pStyle w:val="8"/>
              <w:widowControl/>
              <w:spacing w:before="0" w:beforeAutospacing="0" w:after="0" w:afterAutospacing="0" w:line="340" w:lineRule="exact"/>
              <w:jc w:val="center"/>
              <w:rPr>
                <w:rFonts w:ascii="黑体" w:hAnsi="黑体" w:eastAsia="黑体" w:cs="黑体"/>
                <w:bCs/>
              </w:rPr>
            </w:pPr>
            <w:r>
              <w:rPr>
                <w:rFonts w:hint="eastAsia" w:ascii="黑体" w:hAnsi="黑体" w:eastAsia="黑体" w:cs="黑体"/>
                <w:bCs/>
              </w:rPr>
              <w:t>联系电话</w:t>
            </w:r>
          </w:p>
        </w:tc>
        <w:tc>
          <w:tcPr>
            <w:tcW w:w="1215" w:type="dxa"/>
            <w:vAlign w:val="center"/>
          </w:tcPr>
          <w:p>
            <w:pPr>
              <w:pStyle w:val="8"/>
              <w:widowControl/>
              <w:spacing w:before="0" w:beforeAutospacing="0" w:after="0" w:afterAutospacing="0" w:line="340" w:lineRule="exact"/>
              <w:jc w:val="center"/>
              <w:rPr>
                <w:rFonts w:hint="eastAsia" w:ascii="黑体" w:hAnsi="黑体" w:eastAsia="黑体" w:cs="黑体"/>
                <w:bCs/>
                <w:lang w:eastAsia="zh-CN"/>
              </w:rPr>
            </w:pPr>
            <w:r>
              <w:rPr>
                <w:rFonts w:hint="eastAsia" w:ascii="黑体" w:hAnsi="黑体" w:eastAsia="黑体" w:cs="黑体"/>
                <w:bCs/>
                <w:lang w:eastAsia="zh-CN"/>
              </w:rPr>
              <w:t>作业类型</w:t>
            </w:r>
          </w:p>
        </w:tc>
        <w:tc>
          <w:tcPr>
            <w:tcW w:w="1770" w:type="dxa"/>
            <w:vAlign w:val="center"/>
          </w:tcPr>
          <w:p>
            <w:pPr>
              <w:pStyle w:val="8"/>
              <w:widowControl/>
              <w:spacing w:before="0" w:beforeAutospacing="0" w:after="0" w:afterAutospacing="0" w:line="340" w:lineRule="exact"/>
              <w:jc w:val="center"/>
              <w:rPr>
                <w:rFonts w:ascii="黑体" w:hAnsi="黑体" w:eastAsia="黑体" w:cs="黑体"/>
                <w:bCs/>
              </w:rPr>
            </w:pPr>
            <w:r>
              <w:rPr>
                <w:rFonts w:hint="eastAsia" w:ascii="黑体" w:hAnsi="黑体" w:eastAsia="黑体" w:cs="黑体"/>
                <w:bCs/>
                <w:lang w:eastAsia="zh-CN"/>
              </w:rPr>
              <w:t>核定</w:t>
            </w:r>
            <w:r>
              <w:rPr>
                <w:rFonts w:hint="eastAsia" w:ascii="黑体" w:hAnsi="黑体" w:eastAsia="黑体" w:cs="黑体"/>
                <w:bCs/>
              </w:rPr>
              <w:t>完成</w:t>
            </w:r>
            <w:r>
              <w:rPr>
                <w:rFonts w:hint="eastAsia" w:ascii="黑体" w:hAnsi="黑体" w:eastAsia="黑体" w:cs="黑体"/>
                <w:bCs/>
                <w:lang w:eastAsia="zh-CN"/>
              </w:rPr>
              <w:t>作业</w:t>
            </w:r>
            <w:r>
              <w:rPr>
                <w:rFonts w:hint="eastAsia" w:ascii="黑体" w:hAnsi="黑体" w:eastAsia="黑体" w:cs="黑体"/>
                <w:bCs/>
              </w:rPr>
              <w:t>面积（亩）</w:t>
            </w:r>
          </w:p>
        </w:tc>
        <w:tc>
          <w:tcPr>
            <w:tcW w:w="1596" w:type="dxa"/>
            <w:vAlign w:val="center"/>
          </w:tcPr>
          <w:p>
            <w:pPr>
              <w:pStyle w:val="8"/>
              <w:widowControl/>
              <w:spacing w:before="0" w:beforeAutospacing="0" w:after="0" w:afterAutospacing="0" w:line="340" w:lineRule="exact"/>
              <w:jc w:val="center"/>
              <w:rPr>
                <w:rFonts w:ascii="黑体" w:hAnsi="黑体" w:eastAsia="黑体" w:cs="黑体"/>
                <w:bCs/>
              </w:rPr>
            </w:pPr>
            <w:r>
              <w:rPr>
                <w:rFonts w:hint="eastAsia" w:ascii="黑体" w:hAnsi="黑体" w:eastAsia="黑体" w:cs="黑体"/>
                <w:bCs/>
              </w:rPr>
              <w:t>补助标准   （元/亩）</w:t>
            </w:r>
          </w:p>
        </w:tc>
        <w:tc>
          <w:tcPr>
            <w:tcW w:w="1058" w:type="dxa"/>
            <w:vAlign w:val="center"/>
          </w:tcPr>
          <w:p>
            <w:pPr>
              <w:pStyle w:val="8"/>
              <w:widowControl/>
              <w:spacing w:before="0" w:beforeAutospacing="0" w:after="0" w:afterAutospacing="0" w:line="340" w:lineRule="exact"/>
              <w:jc w:val="center"/>
              <w:rPr>
                <w:rFonts w:ascii="黑体" w:hAnsi="黑体" w:eastAsia="黑体" w:cs="黑体"/>
                <w:bCs/>
              </w:rPr>
            </w:pPr>
            <w:r>
              <w:rPr>
                <w:rFonts w:hint="eastAsia" w:ascii="黑体" w:hAnsi="黑体" w:eastAsia="黑体" w:cs="黑体"/>
                <w:bCs/>
              </w:rPr>
              <w:t>补助金额（元）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76"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850"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987"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878"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763"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442"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215"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770"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596"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058"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76"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850"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987"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878"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763"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442"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215"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770"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596"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058"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76"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850"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987"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878"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763"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442"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215"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770"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596"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058"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76"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850"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987"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878"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763"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442"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215"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770"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596"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058"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76"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850"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987"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878"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763"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442"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215"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770"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596"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058"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76"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850"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987"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878"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763"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442"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215"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770"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596"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058"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76"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850"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987"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878"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763"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442"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215"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770"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596"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c>
          <w:tcPr>
            <w:tcW w:w="1058" w:type="dxa"/>
            <w:vAlign w:val="center"/>
          </w:tcPr>
          <w:p>
            <w:pPr>
              <w:pStyle w:val="8"/>
              <w:widowControl/>
              <w:spacing w:before="0" w:beforeAutospacing="0" w:after="0" w:afterAutospacing="0" w:line="340" w:lineRule="exact"/>
              <w:jc w:val="center"/>
              <w:rPr>
                <w:rFonts w:asciiTheme="minorEastAsia" w:hAnsiTheme="minorEastAsia" w:eastAsiaTheme="minorEastAsia" w:cstheme="minorEastAsia"/>
              </w:rPr>
            </w:pPr>
          </w:p>
        </w:tc>
      </w:tr>
    </w:tbl>
    <w:p>
      <w:pPr>
        <w:pStyle w:val="8"/>
        <w:widowControl/>
        <w:spacing w:before="0" w:beforeAutospacing="0" w:after="0" w:afterAutospacing="0" w:line="500" w:lineRule="exact"/>
        <w:ind w:firstLine="560" w:firstLineChars="200"/>
        <w:jc w:val="both"/>
        <w:rPr>
          <w:rFonts w:hint="eastAsia" w:ascii="楷体" w:hAnsi="楷体" w:eastAsia="楷体" w:cs="楷体"/>
          <w:sz w:val="28"/>
          <w:szCs w:val="28"/>
        </w:rPr>
      </w:pPr>
      <w:r>
        <w:rPr>
          <w:rFonts w:hint="eastAsia" w:ascii="楷体" w:hAnsi="楷体" w:eastAsia="楷体" w:cs="楷体"/>
          <w:sz w:val="28"/>
          <w:szCs w:val="28"/>
        </w:rPr>
        <w:t>注：此表一式两份，一份区农业</w:t>
      </w:r>
      <w:r>
        <w:rPr>
          <w:rFonts w:hint="eastAsia" w:ascii="楷体" w:hAnsi="楷体" w:eastAsia="楷体" w:cs="楷体"/>
          <w:sz w:val="28"/>
          <w:szCs w:val="28"/>
          <w:lang w:eastAsia="zh-CN"/>
        </w:rPr>
        <w:t>技术推广中心</w:t>
      </w:r>
      <w:r>
        <w:rPr>
          <w:rFonts w:hint="eastAsia" w:ascii="楷体" w:hAnsi="楷体" w:eastAsia="楷体" w:cs="楷体"/>
          <w:sz w:val="28"/>
          <w:szCs w:val="28"/>
        </w:rPr>
        <w:t>存档，一份区财政局作拨款依据。</w:t>
      </w:r>
    </w:p>
    <w:p>
      <w:pPr>
        <w:pStyle w:val="8"/>
        <w:widowControl/>
        <w:spacing w:before="0" w:beforeAutospacing="0" w:after="0" w:afterAutospacing="0" w:line="500" w:lineRule="exact"/>
        <w:ind w:firstLine="560" w:firstLineChars="200"/>
        <w:jc w:val="both"/>
        <w:rPr>
          <w:rFonts w:hint="eastAsia" w:ascii="楷体" w:hAnsi="楷体" w:eastAsia="楷体" w:cs="楷体"/>
          <w:sz w:val="28"/>
          <w:szCs w:val="28"/>
        </w:rPr>
        <w:sectPr>
          <w:pgSz w:w="16838" w:h="11906" w:orient="landscape"/>
          <w:pgMar w:top="720" w:right="720" w:bottom="720" w:left="720" w:header="851" w:footer="992" w:gutter="0"/>
          <w:pgNumType w:fmt="numberInDash"/>
          <w:cols w:space="425" w:num="1"/>
          <w:docGrid w:type="linesAndChars" w:linePitch="312" w:charSpace="0"/>
        </w:sectPr>
      </w:pPr>
    </w:p>
    <w:p>
      <w:pPr>
        <w:widowControl w:val="0"/>
        <w:spacing w:line="560" w:lineRule="exact"/>
        <w:rPr>
          <w:rFonts w:hint="eastAsia" w:ascii="黑体" w:hAnsi="黑体" w:eastAsia="黑体" w:cs="仿宋_GB2312"/>
          <w:kern w:val="2"/>
          <w:sz w:val="32"/>
          <w:szCs w:val="32"/>
          <w:highlight w:val="none"/>
          <w:lang w:val="en-US" w:eastAsia="zh-CN"/>
        </w:rPr>
      </w:pPr>
      <w:r>
        <w:rPr>
          <w:rFonts w:hint="eastAsia" w:ascii="黑体" w:hAnsi="黑体" w:eastAsia="黑体" w:cs="仿宋_GB2312"/>
          <w:kern w:val="2"/>
          <w:sz w:val="32"/>
          <w:szCs w:val="32"/>
          <w:highlight w:val="none"/>
        </w:rPr>
        <w:t>附件</w:t>
      </w:r>
      <w:r>
        <w:rPr>
          <w:rFonts w:hint="eastAsia" w:ascii="黑体" w:hAnsi="黑体" w:eastAsia="黑体" w:cs="仿宋_GB2312"/>
          <w:kern w:val="2"/>
          <w:sz w:val="32"/>
          <w:szCs w:val="32"/>
          <w:highlight w:val="none"/>
          <w:lang w:val="en-US" w:eastAsia="zh-CN"/>
        </w:rPr>
        <w:t>4</w:t>
      </w:r>
    </w:p>
    <w:p>
      <w:pPr>
        <w:widowControl w:val="0"/>
        <w:spacing w:line="560" w:lineRule="exact"/>
        <w:jc w:val="center"/>
        <w:rPr>
          <w:rFonts w:hint="eastAsia" w:ascii="方正小标宋简体" w:hAnsi="方正小标宋简体" w:eastAsia="方正小标宋简体" w:cs="方正小标宋简体"/>
          <w:kern w:val="2"/>
          <w:sz w:val="36"/>
          <w:szCs w:val="36"/>
          <w:highlight w:val="none"/>
          <w:lang w:eastAsia="zh-CN"/>
        </w:rPr>
      </w:pPr>
      <w:r>
        <w:rPr>
          <w:rFonts w:hint="eastAsia" w:ascii="方正小标宋简体" w:hAnsi="方正小标宋简体" w:eastAsia="方正小标宋简体" w:cs="方正小标宋简体"/>
          <w:kern w:val="2"/>
          <w:sz w:val="36"/>
          <w:szCs w:val="36"/>
          <w:highlight w:val="none"/>
        </w:rPr>
        <w:t>武汉市</w:t>
      </w:r>
      <w:r>
        <w:rPr>
          <w:rFonts w:hint="eastAsia" w:ascii="方正小标宋简体" w:hAnsi="方正小标宋简体" w:eastAsia="方正小标宋简体" w:cs="方正小标宋简体"/>
          <w:kern w:val="2"/>
          <w:sz w:val="36"/>
          <w:szCs w:val="36"/>
          <w:highlight w:val="none"/>
          <w:lang w:eastAsia="zh-CN"/>
        </w:rPr>
        <w:t>江夏区</w:t>
      </w:r>
      <w:r>
        <w:rPr>
          <w:rFonts w:hint="eastAsia" w:ascii="方正小标宋简体" w:hAnsi="方正小标宋简体" w:eastAsia="方正小标宋简体" w:cs="方正小标宋简体"/>
          <w:kern w:val="2"/>
          <w:sz w:val="36"/>
          <w:szCs w:val="36"/>
          <w:highlight w:val="none"/>
        </w:rPr>
        <w:t>油菜轮作示范项目</w:t>
      </w:r>
      <w:r>
        <w:rPr>
          <w:rFonts w:hint="eastAsia" w:ascii="方正小标宋简体" w:hAnsi="方正小标宋简体" w:eastAsia="方正小标宋简体" w:cs="方正小标宋简体"/>
          <w:kern w:val="2"/>
          <w:sz w:val="36"/>
          <w:szCs w:val="36"/>
          <w:highlight w:val="none"/>
          <w:lang w:eastAsia="zh-CN"/>
        </w:rPr>
        <w:t>技术指导意见</w:t>
      </w:r>
    </w:p>
    <w:p>
      <w:pPr>
        <w:widowControl w:val="0"/>
        <w:spacing w:line="550" w:lineRule="exact"/>
        <w:rPr>
          <w:rFonts w:ascii="等线" w:hAnsi="等线" w:eastAsia="等线" w:cs="Times New Roman"/>
          <w:kern w:val="2"/>
          <w:szCs w:val="22"/>
          <w:highlight w:val="none"/>
        </w:rPr>
      </w:pPr>
    </w:p>
    <w:p>
      <w:pPr>
        <w:widowControl w:val="0"/>
        <w:spacing w:line="550" w:lineRule="exact"/>
        <w:ind w:firstLine="640" w:firstLineChars="200"/>
        <w:rPr>
          <w:rFonts w:ascii="Times New Roman" w:hAnsi="Times New Roman" w:eastAsia="黑体" w:cs="Times New Roman"/>
          <w:kern w:val="2"/>
          <w:sz w:val="32"/>
          <w:szCs w:val="32"/>
          <w:highlight w:val="none"/>
        </w:rPr>
      </w:pPr>
      <w:r>
        <w:rPr>
          <w:rFonts w:ascii="Times New Roman" w:hAnsi="Times New Roman" w:eastAsia="黑体" w:cs="Times New Roman"/>
          <w:kern w:val="2"/>
          <w:sz w:val="32"/>
          <w:szCs w:val="32"/>
          <w:highlight w:val="none"/>
        </w:rPr>
        <w:t>一、总体要求</w:t>
      </w:r>
    </w:p>
    <w:p>
      <w:pPr>
        <w:widowControl w:val="0"/>
        <w:spacing w:line="550" w:lineRule="exact"/>
        <w:ind w:firstLine="640" w:firstLineChars="200"/>
        <w:jc w:val="both"/>
        <w:rPr>
          <w:rFonts w:ascii="Times New Roman" w:hAnsi="Times New Roman" w:eastAsia="仿宋_GB2312" w:cs="Times New Roman"/>
          <w:kern w:val="2"/>
          <w:sz w:val="32"/>
          <w:szCs w:val="32"/>
          <w:highlight w:val="none"/>
        </w:rPr>
      </w:pPr>
      <w:r>
        <w:rPr>
          <w:rFonts w:ascii="Times New Roman" w:hAnsi="Times New Roman" w:eastAsia="仿宋_GB2312" w:cs="Times New Roman"/>
          <w:kern w:val="2"/>
          <w:sz w:val="32"/>
          <w:szCs w:val="32"/>
          <w:highlight w:val="none"/>
        </w:rPr>
        <w:t>坚持把油菜轮作作为统筹当前与长远、协调生产与生态、 兼顾用地与养地的制度性安排，持续开发冬闲田扩种油菜。  在重点线路、重点区域整体推进冬闲田、撂荒地扩种油菜，大力开展油菜规模化生产“四化”</w:t>
      </w:r>
      <w:r>
        <w:rPr>
          <w:rFonts w:hint="eastAsia" w:ascii="Times New Roman" w:hAnsi="Times New Roman" w:eastAsia="仿宋_GB2312" w:cs="Times New Roman"/>
          <w:kern w:val="2"/>
          <w:sz w:val="32"/>
          <w:szCs w:val="32"/>
          <w:highlight w:val="none"/>
          <w:lang w:eastAsia="zh-CN"/>
        </w:rPr>
        <w:t>（</w:t>
      </w:r>
      <w:r>
        <w:rPr>
          <w:rFonts w:ascii="Times New Roman" w:hAnsi="Times New Roman" w:eastAsia="仿宋_GB2312" w:cs="Times New Roman"/>
          <w:kern w:val="2"/>
          <w:sz w:val="32"/>
          <w:szCs w:val="32"/>
          <w:highlight w:val="none"/>
        </w:rPr>
        <w:t>资源高效化、品种优质化、操作机械化、栽培轻简化</w:t>
      </w:r>
      <w:r>
        <w:rPr>
          <w:rFonts w:hint="eastAsia" w:ascii="Times New Roman" w:hAnsi="Times New Roman" w:eastAsia="仿宋_GB2312" w:cs="Times New Roman"/>
          <w:kern w:val="2"/>
          <w:sz w:val="32"/>
          <w:szCs w:val="32"/>
          <w:highlight w:val="none"/>
          <w:lang w:eastAsia="zh-CN"/>
        </w:rPr>
        <w:t>）</w:t>
      </w:r>
      <w:r>
        <w:rPr>
          <w:rFonts w:ascii="Times New Roman" w:hAnsi="Times New Roman" w:eastAsia="仿宋_GB2312" w:cs="Times New Roman"/>
          <w:kern w:val="2"/>
          <w:sz w:val="32"/>
          <w:szCs w:val="32"/>
          <w:highlight w:val="none"/>
        </w:rPr>
        <w:t>技术集成，</w:t>
      </w:r>
      <w:r>
        <w:rPr>
          <w:rFonts w:hint="eastAsia" w:ascii="Times New Roman" w:hAnsi="Times New Roman" w:eastAsia="仿宋_GB2312" w:cs="Times New Roman"/>
          <w:kern w:val="2"/>
          <w:sz w:val="32"/>
          <w:szCs w:val="32"/>
          <w:highlight w:val="none"/>
        </w:rPr>
        <w:t>围绕油菜“种管收”全过程，落实优选品种、联合机播、调控抗逆、减损收储等措施</w:t>
      </w:r>
      <w:r>
        <w:rPr>
          <w:rFonts w:hint="eastAsia" w:ascii="Times New Roman" w:hAnsi="Times New Roman" w:eastAsia="仿宋_GB2312" w:cs="Times New Roman"/>
          <w:kern w:val="2"/>
          <w:sz w:val="32"/>
          <w:szCs w:val="32"/>
          <w:highlight w:val="none"/>
          <w:lang w:eastAsia="zh-CN"/>
        </w:rPr>
        <w:t>，</w:t>
      </w:r>
      <w:r>
        <w:rPr>
          <w:rFonts w:ascii="Times New Roman" w:hAnsi="Times New Roman" w:eastAsia="仿宋_GB2312" w:cs="Times New Roman"/>
          <w:kern w:val="2"/>
          <w:sz w:val="32"/>
          <w:szCs w:val="32"/>
          <w:highlight w:val="none"/>
        </w:rPr>
        <w:t>力争试点区域</w:t>
      </w:r>
      <w:r>
        <w:rPr>
          <w:rFonts w:hint="eastAsia" w:ascii="Times New Roman" w:hAnsi="Times New Roman" w:eastAsia="仿宋_GB2312" w:cs="Times New Roman"/>
          <w:kern w:val="2"/>
          <w:sz w:val="32"/>
          <w:szCs w:val="32"/>
          <w:highlight w:val="none"/>
          <w:lang w:val="en-US" w:eastAsia="zh-CN"/>
        </w:rPr>
        <w:t>单产提升</w:t>
      </w:r>
      <w:r>
        <w:rPr>
          <w:rFonts w:ascii="Times New Roman" w:hAnsi="Times New Roman" w:eastAsia="仿宋_GB2312" w:cs="Times New Roman"/>
          <w:kern w:val="2"/>
          <w:sz w:val="32"/>
          <w:szCs w:val="32"/>
          <w:highlight w:val="none"/>
        </w:rPr>
        <w:t>，</w:t>
      </w:r>
      <w:r>
        <w:rPr>
          <w:rFonts w:hint="eastAsia" w:ascii="Times New Roman" w:hAnsi="Times New Roman" w:eastAsia="仿宋_GB2312" w:cs="Times New Roman"/>
          <w:kern w:val="2"/>
          <w:sz w:val="32"/>
          <w:szCs w:val="32"/>
          <w:highlight w:val="none"/>
        </w:rPr>
        <w:t>推动油菜产业高质量发展</w:t>
      </w:r>
      <w:r>
        <w:rPr>
          <w:rFonts w:ascii="Times New Roman" w:hAnsi="Times New Roman" w:eastAsia="仿宋_GB2312" w:cs="Times New Roman"/>
          <w:kern w:val="2"/>
          <w:sz w:val="32"/>
          <w:szCs w:val="32"/>
          <w:highlight w:val="none"/>
        </w:rPr>
        <w:t>。</w:t>
      </w:r>
    </w:p>
    <w:p>
      <w:pPr>
        <w:widowControl w:val="0"/>
        <w:spacing w:line="550" w:lineRule="exact"/>
        <w:ind w:firstLine="640" w:firstLineChars="200"/>
        <w:rPr>
          <w:rFonts w:ascii="Times New Roman" w:hAnsi="Times New Roman" w:eastAsia="黑体" w:cs="Times New Roman"/>
          <w:kern w:val="2"/>
          <w:sz w:val="32"/>
          <w:szCs w:val="32"/>
          <w:highlight w:val="none"/>
        </w:rPr>
      </w:pPr>
      <w:r>
        <w:rPr>
          <w:rFonts w:ascii="Times New Roman" w:hAnsi="Times New Roman" w:eastAsia="黑体" w:cs="Times New Roman"/>
          <w:kern w:val="2"/>
          <w:sz w:val="32"/>
          <w:szCs w:val="32"/>
          <w:highlight w:val="none"/>
        </w:rPr>
        <w:t>二、技术要点</w:t>
      </w:r>
    </w:p>
    <w:p>
      <w:pPr>
        <w:widowControl w:val="0"/>
        <w:spacing w:line="550" w:lineRule="exact"/>
        <w:ind w:firstLine="640" w:firstLineChars="200"/>
        <w:rPr>
          <w:rFonts w:ascii="Times New Roman" w:hAnsi="Times New Roman" w:eastAsia="仿宋_GB2312" w:cs="Times New Roman"/>
          <w:kern w:val="2"/>
          <w:sz w:val="32"/>
          <w:szCs w:val="32"/>
          <w:highlight w:val="none"/>
        </w:rPr>
      </w:pPr>
      <w:r>
        <w:rPr>
          <w:rFonts w:ascii="Times New Roman" w:hAnsi="Times New Roman" w:eastAsia="楷体_GB2312" w:cs="Times New Roman"/>
          <w:kern w:val="2"/>
          <w:sz w:val="32"/>
          <w:szCs w:val="32"/>
          <w:highlight w:val="none"/>
        </w:rPr>
        <w:t>1.选用良种。</w:t>
      </w:r>
      <w:r>
        <w:rPr>
          <w:rFonts w:ascii="Times New Roman" w:hAnsi="Times New Roman" w:eastAsia="仿宋_GB2312" w:cs="Times New Roman"/>
          <w:kern w:val="2"/>
          <w:sz w:val="32"/>
          <w:szCs w:val="32"/>
          <w:highlight w:val="none"/>
        </w:rPr>
        <w:t>根据《武汉市202</w:t>
      </w:r>
      <w:r>
        <w:rPr>
          <w:rFonts w:hint="eastAsia" w:eastAsia="仿宋_GB2312" w:cs="Times New Roman"/>
          <w:kern w:val="2"/>
          <w:sz w:val="32"/>
          <w:szCs w:val="32"/>
          <w:highlight w:val="none"/>
          <w:lang w:val="en-US" w:eastAsia="zh-CN"/>
        </w:rPr>
        <w:t>5</w:t>
      </w:r>
      <w:r>
        <w:rPr>
          <w:rFonts w:ascii="Times New Roman" w:hAnsi="Times New Roman" w:eastAsia="仿宋_GB2312" w:cs="Times New Roman"/>
          <w:kern w:val="2"/>
          <w:sz w:val="32"/>
          <w:szCs w:val="32"/>
          <w:highlight w:val="none"/>
        </w:rPr>
        <w:t>年油菜轮作示范项目实施方案》要求，因地制宜选用高产稳产、抗性较强的“双低”油菜品种，严禁使用转基因种子、严禁从油菜根肿病疫区调种。</w:t>
      </w:r>
    </w:p>
    <w:p>
      <w:pPr>
        <w:widowControl w:val="0"/>
        <w:spacing w:line="550" w:lineRule="exact"/>
        <w:ind w:firstLine="640" w:firstLineChars="200"/>
        <w:rPr>
          <w:rFonts w:ascii="Times New Roman" w:hAnsi="Times New Roman" w:eastAsia="仿宋_GB2312" w:cs="Times New Roman"/>
          <w:kern w:val="2"/>
          <w:sz w:val="32"/>
          <w:szCs w:val="32"/>
          <w:highlight w:val="none"/>
        </w:rPr>
      </w:pPr>
      <w:r>
        <w:rPr>
          <w:rFonts w:ascii="Times New Roman" w:hAnsi="Times New Roman" w:eastAsia="楷体_GB2312" w:cs="Times New Roman"/>
          <w:kern w:val="2"/>
          <w:sz w:val="32"/>
          <w:szCs w:val="32"/>
          <w:highlight w:val="none"/>
        </w:rPr>
        <w:t>2.种子处理。</w:t>
      </w:r>
      <w:r>
        <w:rPr>
          <w:rFonts w:ascii="Times New Roman" w:hAnsi="Times New Roman" w:eastAsia="仿宋_GB2312" w:cs="Times New Roman"/>
          <w:kern w:val="2"/>
          <w:sz w:val="32"/>
          <w:szCs w:val="32"/>
          <w:highlight w:val="none"/>
        </w:rPr>
        <w:t>播种前采用新美洲星、噻虫胺等拌种，促进油菜速发快长并有效防治苗期病虫害。选用新美洲星拌种，宜用30ml原液不加水拌0.75公斤种子，随拌随播；用噻虫胺等拌种，须严格按产品使用说明进行操作。</w:t>
      </w:r>
    </w:p>
    <w:p>
      <w:pPr>
        <w:widowControl w:val="0"/>
        <w:spacing w:line="550" w:lineRule="exact"/>
        <w:ind w:firstLine="640" w:firstLineChars="200"/>
        <w:rPr>
          <w:rFonts w:ascii="Times New Roman" w:hAnsi="Times New Roman" w:eastAsia="仿宋_GB2312" w:cs="Times New Roman"/>
          <w:kern w:val="2"/>
          <w:sz w:val="32"/>
          <w:szCs w:val="32"/>
          <w:highlight w:val="none"/>
        </w:rPr>
      </w:pPr>
      <w:r>
        <w:rPr>
          <w:rFonts w:ascii="Times New Roman" w:hAnsi="Times New Roman" w:eastAsia="楷体_GB2312" w:cs="Times New Roman"/>
          <w:kern w:val="2"/>
          <w:sz w:val="32"/>
          <w:szCs w:val="32"/>
          <w:highlight w:val="none"/>
        </w:rPr>
        <w:t>3.合理密植。</w:t>
      </w:r>
      <w:r>
        <w:rPr>
          <w:rFonts w:ascii="Times New Roman" w:hAnsi="Times New Roman" w:eastAsia="仿宋_GB2312" w:cs="Times New Roman"/>
          <w:kern w:val="2"/>
          <w:sz w:val="32"/>
          <w:szCs w:val="32"/>
          <w:highlight w:val="none"/>
        </w:rPr>
        <w:t>10月上中旬播种，最佳密度2.0-2.5万株/亩。机播亩用种量250克左右，人工撒播、无人机飞播亩用种量300-400克。干旱年份、播期推迟相应增加用种量。播期每推迟5-10天，亩用种量增加50克，但亩用种量最多不超过500克。</w:t>
      </w:r>
    </w:p>
    <w:p>
      <w:pPr>
        <w:widowControl w:val="0"/>
        <w:spacing w:line="550" w:lineRule="exact"/>
        <w:ind w:firstLine="640" w:firstLineChars="200"/>
        <w:rPr>
          <w:rFonts w:ascii="Times New Roman" w:hAnsi="Times New Roman" w:eastAsia="仿宋_GB2312" w:cs="Times New Roman"/>
          <w:kern w:val="2"/>
          <w:sz w:val="32"/>
          <w:szCs w:val="32"/>
          <w:highlight w:val="none"/>
        </w:rPr>
      </w:pPr>
      <w:r>
        <w:rPr>
          <w:rFonts w:ascii="Times New Roman" w:hAnsi="Times New Roman" w:eastAsia="楷体_GB2312" w:cs="Times New Roman"/>
          <w:kern w:val="2"/>
          <w:sz w:val="32"/>
          <w:szCs w:val="32"/>
          <w:highlight w:val="none"/>
        </w:rPr>
        <w:t>4.机械播种。</w:t>
      </w:r>
      <w:r>
        <w:rPr>
          <w:rFonts w:ascii="Times New Roman" w:hAnsi="Times New Roman" w:eastAsia="仿宋_GB2312" w:cs="Times New Roman"/>
          <w:kern w:val="2"/>
          <w:sz w:val="32"/>
          <w:szCs w:val="32"/>
          <w:highlight w:val="none"/>
        </w:rPr>
        <w:t>可采用联合机播和免耕或旋耕飞播</w:t>
      </w:r>
      <w:r>
        <w:rPr>
          <w:rFonts w:hint="eastAsia" w:ascii="仿宋_GB2312" w:hAnsi="仿宋_GB2312" w:eastAsia="仿宋_GB2312" w:cs="仿宋_GB2312"/>
          <w:kern w:val="2"/>
          <w:sz w:val="32"/>
          <w:szCs w:val="32"/>
          <w:highlight w:val="none"/>
          <w:lang w:val="en-US" w:eastAsia="zh-CN"/>
        </w:rPr>
        <w:t>(</w:t>
      </w:r>
      <w:r>
        <w:rPr>
          <w:rFonts w:ascii="Times New Roman" w:hAnsi="Times New Roman" w:eastAsia="仿宋_GB2312" w:cs="Times New Roman"/>
          <w:kern w:val="2"/>
          <w:sz w:val="32"/>
          <w:szCs w:val="32"/>
          <w:highlight w:val="none"/>
        </w:rPr>
        <w:t>人工撒播</w:t>
      </w:r>
      <w:r>
        <w:rPr>
          <w:rFonts w:hint="eastAsia" w:ascii="仿宋_GB2312" w:hAnsi="仿宋_GB2312" w:eastAsia="仿宋_GB2312" w:cs="仿宋_GB2312"/>
          <w:kern w:val="2"/>
          <w:sz w:val="32"/>
          <w:szCs w:val="32"/>
          <w:highlight w:val="none"/>
        </w:rPr>
        <w:t>)</w:t>
      </w:r>
      <w:r>
        <w:rPr>
          <w:rFonts w:ascii="Times New Roman" w:hAnsi="Times New Roman" w:eastAsia="仿宋_GB2312" w:cs="Times New Roman"/>
          <w:kern w:val="2"/>
          <w:sz w:val="32"/>
          <w:szCs w:val="32"/>
          <w:highlight w:val="none"/>
        </w:rPr>
        <w:t>等方式。联合机播采用种肥同播机联合机播，一次性完成旋耕、灭茬、开沟、起垄、施肥、镇压、播种、覆土和封闭除草等工序，省时节本高效。免耕飞播主要适于晚熟稻-油轮作模式，采用带秸秆粉碎抛洒装置的联合收割机收割水稻，可留高茬40-50cm</w:t>
      </w:r>
      <w:r>
        <w:rPr>
          <w:rFonts w:hint="eastAsia" w:ascii="仿宋_GB2312" w:hAnsi="仿宋_GB2312" w:eastAsia="仿宋_GB2312" w:cs="仿宋_GB2312"/>
          <w:kern w:val="2"/>
          <w:sz w:val="32"/>
          <w:szCs w:val="32"/>
          <w:highlight w:val="none"/>
          <w:lang w:val="en-US" w:eastAsia="zh-CN"/>
        </w:rPr>
        <w:t>,</w:t>
      </w:r>
      <w:r>
        <w:rPr>
          <w:rFonts w:ascii="Times New Roman" w:hAnsi="Times New Roman" w:eastAsia="仿宋_GB2312" w:cs="Times New Roman"/>
          <w:kern w:val="2"/>
          <w:sz w:val="32"/>
          <w:szCs w:val="32"/>
          <w:highlight w:val="none"/>
        </w:rPr>
        <w:t>秸秆粉碎均匀还田。水稻收获前1-3天用大疆、极飞等农用无人机飞播油菜，也可在水稻收获后飞播油菜，亩用种量可适当增加，但不超过500克。水稻收割、油菜播种完成后即用机械或人工撒施肥料，用开沟机开沟，沟土分抛厢面。无人机播种走向、开沟机开沟走向与水稻种植行方向保持一致。旋耕飞播</w:t>
      </w:r>
      <w:r>
        <w:rPr>
          <w:rFonts w:hint="eastAsia" w:ascii="仿宋_GB2312" w:hAnsi="仿宋_GB2312" w:eastAsia="仿宋_GB2312" w:cs="仿宋_GB2312"/>
          <w:kern w:val="2"/>
          <w:sz w:val="32"/>
          <w:szCs w:val="32"/>
          <w:highlight w:val="none"/>
          <w:lang w:val="en-US" w:eastAsia="zh-CN"/>
        </w:rPr>
        <w:t>(</w:t>
      </w:r>
      <w:r>
        <w:rPr>
          <w:rFonts w:ascii="Times New Roman" w:hAnsi="Times New Roman" w:eastAsia="仿宋_GB2312" w:cs="Times New Roman"/>
          <w:kern w:val="2"/>
          <w:sz w:val="32"/>
          <w:szCs w:val="32"/>
          <w:highlight w:val="none"/>
        </w:rPr>
        <w:t>人工撒播</w:t>
      </w:r>
      <w:r>
        <w:rPr>
          <w:rFonts w:hint="eastAsia" w:ascii="仿宋_GB2312" w:hAnsi="仿宋_GB2312" w:eastAsia="仿宋_GB2312" w:cs="仿宋_GB2312"/>
          <w:kern w:val="2"/>
          <w:sz w:val="32"/>
          <w:szCs w:val="32"/>
          <w:highlight w:val="none"/>
        </w:rPr>
        <w:t>)</w:t>
      </w:r>
      <w:r>
        <w:rPr>
          <w:rFonts w:ascii="Times New Roman" w:hAnsi="Times New Roman" w:eastAsia="仿宋_GB2312" w:cs="Times New Roman"/>
          <w:kern w:val="2"/>
          <w:sz w:val="32"/>
          <w:szCs w:val="32"/>
          <w:highlight w:val="none"/>
        </w:rPr>
        <w:t>适用于腾茬早、土壤较粘重的田块。先旋耕灭茬、除草、施肥，再用无人机飞播或人工撒播。播种后即用开沟机开沟，沟土分抛厢面。</w:t>
      </w:r>
    </w:p>
    <w:p>
      <w:pPr>
        <w:widowControl w:val="0"/>
        <w:spacing w:line="550" w:lineRule="exact"/>
        <w:ind w:firstLine="640" w:firstLineChars="200"/>
        <w:rPr>
          <w:rFonts w:ascii="Times New Roman" w:hAnsi="Times New Roman" w:eastAsia="仿宋_GB2312" w:cs="Times New Roman"/>
          <w:kern w:val="2"/>
          <w:sz w:val="32"/>
          <w:szCs w:val="32"/>
          <w:highlight w:val="none"/>
        </w:rPr>
      </w:pPr>
      <w:r>
        <w:rPr>
          <w:rFonts w:ascii="Times New Roman" w:hAnsi="Times New Roman" w:eastAsia="仿宋_GB2312" w:cs="Times New Roman"/>
          <w:kern w:val="2"/>
          <w:sz w:val="32"/>
          <w:szCs w:val="32"/>
          <w:highlight w:val="none"/>
        </w:rPr>
        <w:t>5.科学施肥。采用“底肥为主，一次追肥”施肥法，底肥施用油菜专用缓释肥</w:t>
      </w:r>
      <w:r>
        <w:rPr>
          <w:rFonts w:hint="eastAsia" w:ascii="仿宋_GB2312" w:hAnsi="仿宋_GB2312" w:eastAsia="仿宋_GB2312" w:cs="仿宋_GB2312"/>
          <w:kern w:val="2"/>
          <w:sz w:val="32"/>
          <w:szCs w:val="32"/>
          <w:highlight w:val="none"/>
          <w:lang w:val="en-US" w:eastAsia="zh-CN"/>
        </w:rPr>
        <w:t>(</w:t>
      </w:r>
      <w:r>
        <w:rPr>
          <w:rFonts w:ascii="Times New Roman" w:hAnsi="Times New Roman" w:eastAsia="仿宋_GB2312" w:cs="Times New Roman"/>
          <w:kern w:val="2"/>
          <w:sz w:val="32"/>
          <w:szCs w:val="32"/>
          <w:highlight w:val="none"/>
        </w:rPr>
        <w:t>N-P</w:t>
      </w:r>
      <w:r>
        <w:rPr>
          <w:rFonts w:ascii="Times New Roman" w:hAnsi="Times New Roman" w:eastAsia="仿宋_GB2312" w:cs="Times New Roman"/>
          <w:kern w:val="2"/>
          <w:sz w:val="32"/>
          <w:szCs w:val="32"/>
          <w:highlight w:val="none"/>
          <w:vertAlign w:val="subscript"/>
        </w:rPr>
        <w:t>2</w:t>
      </w:r>
      <w:r>
        <w:rPr>
          <w:rFonts w:ascii="Times New Roman" w:hAnsi="Times New Roman" w:eastAsia="仿宋_GB2312" w:cs="Times New Roman"/>
          <w:kern w:val="2"/>
          <w:sz w:val="32"/>
          <w:szCs w:val="32"/>
          <w:highlight w:val="none"/>
        </w:rPr>
        <w:t>O</w:t>
      </w:r>
      <w:r>
        <w:rPr>
          <w:rFonts w:ascii="Times New Roman" w:hAnsi="Times New Roman" w:eastAsia="仿宋_GB2312" w:cs="Times New Roman"/>
          <w:kern w:val="2"/>
          <w:sz w:val="32"/>
          <w:szCs w:val="32"/>
          <w:highlight w:val="none"/>
          <w:vertAlign w:val="subscript"/>
        </w:rPr>
        <w:t>5</w:t>
      </w:r>
      <w:r>
        <w:rPr>
          <w:rFonts w:ascii="Times New Roman" w:hAnsi="Times New Roman" w:eastAsia="仿宋_GB2312" w:cs="Times New Roman"/>
          <w:kern w:val="2"/>
          <w:sz w:val="32"/>
          <w:szCs w:val="32"/>
          <w:highlight w:val="none"/>
        </w:rPr>
        <w:t>-K</w:t>
      </w:r>
      <w:r>
        <w:rPr>
          <w:rFonts w:ascii="Times New Roman" w:hAnsi="Times New Roman" w:eastAsia="仿宋_GB2312" w:cs="Times New Roman"/>
          <w:kern w:val="2"/>
          <w:sz w:val="32"/>
          <w:szCs w:val="32"/>
          <w:highlight w:val="none"/>
          <w:vertAlign w:val="subscript"/>
        </w:rPr>
        <w:t>2</w:t>
      </w:r>
      <w:r>
        <w:rPr>
          <w:rFonts w:ascii="Times New Roman" w:hAnsi="Times New Roman" w:eastAsia="仿宋_GB2312" w:cs="Times New Roman"/>
          <w:kern w:val="2"/>
          <w:sz w:val="32"/>
          <w:szCs w:val="32"/>
          <w:highlight w:val="none"/>
        </w:rPr>
        <w:t>O为25-7-8</w:t>
      </w:r>
      <w:r>
        <w:rPr>
          <w:rFonts w:hint="eastAsia" w:ascii="仿宋_GB2312" w:hAnsi="仿宋_GB2312" w:eastAsia="仿宋_GB2312" w:cs="仿宋_GB2312"/>
          <w:kern w:val="2"/>
          <w:sz w:val="32"/>
          <w:szCs w:val="32"/>
          <w:highlight w:val="none"/>
        </w:rPr>
        <w:t>),</w:t>
      </w:r>
      <w:r>
        <w:rPr>
          <w:rFonts w:ascii="Times New Roman" w:hAnsi="Times New Roman" w:eastAsia="仿宋_GB2312" w:cs="Times New Roman"/>
          <w:kern w:val="2"/>
          <w:sz w:val="32"/>
          <w:szCs w:val="32"/>
          <w:highlight w:val="none"/>
        </w:rPr>
        <w:t>每亩施用 40-50公斤/亩，另加硼砂0.5-0.75公斤/亩；在蕾苔期视苗情每亩追施尿素3-5公斤。</w:t>
      </w:r>
    </w:p>
    <w:p>
      <w:pPr>
        <w:widowControl w:val="0"/>
        <w:spacing w:line="550" w:lineRule="exact"/>
        <w:ind w:firstLine="640" w:firstLineChars="200"/>
        <w:rPr>
          <w:rFonts w:ascii="Times New Roman" w:hAnsi="Times New Roman" w:eastAsia="仿宋_GB2312" w:cs="Times New Roman"/>
          <w:kern w:val="2"/>
          <w:sz w:val="32"/>
          <w:szCs w:val="32"/>
          <w:highlight w:val="none"/>
        </w:rPr>
      </w:pPr>
      <w:r>
        <w:rPr>
          <w:rFonts w:ascii="Times New Roman" w:hAnsi="Times New Roman" w:eastAsia="仿宋_GB2312" w:cs="Times New Roman"/>
          <w:kern w:val="2"/>
          <w:sz w:val="32"/>
          <w:szCs w:val="32"/>
          <w:highlight w:val="none"/>
        </w:rPr>
        <w:t>6.绿色防控。机播时或播种后即喷乙草胺等药剂封闭除草。草害较重的田块，在油菜4-5 叶、杂草2-3 叶期间喷施油菜田专用除草剂除草。冬至前后喷施生长调节剂增强油菜抗冻性。冬至苗偏旺田块，用15%多效唑可湿性粉剂100克或5%烯效唑40克兑水50公斤喷雾控旺，防止早苔早花，减轻冻害影响。初花后期喷施新美洲星、沃农硼或速乐硼、磷酸二氢钾、硫酸镁混合咪鲜胺、氟唑菌酰羟胺等肥药实施“一促四防”。菌核病重发田块，盛花期再用无人机喷施氟唑菌酰羟胺、咪鲜胺、戊唑醇、菌核净、多菌灵等杀菌剂进行防治，宜轮换用药，以提高防效。根肿病易发田块选用抗根肿病品种、用氰霜唑拌种，结合整地每亩用生石灰25-50公斤改良土壤。</w:t>
      </w:r>
    </w:p>
    <w:p>
      <w:pPr>
        <w:widowControl w:val="0"/>
        <w:spacing w:line="550" w:lineRule="exact"/>
        <w:ind w:firstLine="640" w:firstLineChars="200"/>
        <w:rPr>
          <w:rFonts w:ascii="Times New Roman" w:hAnsi="Times New Roman" w:eastAsia="仿宋_GB2312" w:cs="Times New Roman"/>
          <w:kern w:val="2"/>
          <w:sz w:val="32"/>
          <w:szCs w:val="32"/>
          <w:highlight w:val="none"/>
        </w:rPr>
      </w:pPr>
      <w:r>
        <w:rPr>
          <w:rFonts w:ascii="Times New Roman" w:hAnsi="Times New Roman" w:eastAsia="仿宋_GB2312" w:cs="Times New Roman"/>
          <w:kern w:val="2"/>
          <w:sz w:val="32"/>
          <w:szCs w:val="32"/>
          <w:highlight w:val="none"/>
        </w:rPr>
        <w:t>7.摘薹菜用。种植“一菜两用”油菜品种的田块，薹高40厘米左右时，可摘薹10-15厘米，每亩可收获250-400公斤，用作蔬菜。</w:t>
      </w:r>
    </w:p>
    <w:p>
      <w:pPr>
        <w:widowControl w:val="0"/>
        <w:spacing w:line="550" w:lineRule="exact"/>
        <w:ind w:firstLine="640" w:firstLineChars="200"/>
        <w:rPr>
          <w:rFonts w:hint="eastAsia" w:ascii="Times New Roman" w:hAnsi="Times New Roman" w:eastAsia="仿宋_GB2312" w:cs="Times New Roman"/>
          <w:kern w:val="2"/>
          <w:sz w:val="32"/>
          <w:szCs w:val="32"/>
          <w:highlight w:val="none"/>
          <w:lang w:eastAsia="zh-CN"/>
        </w:rPr>
      </w:pPr>
      <w:r>
        <w:rPr>
          <w:rFonts w:ascii="Times New Roman" w:hAnsi="Times New Roman" w:eastAsia="仿宋_GB2312" w:cs="Times New Roman"/>
          <w:kern w:val="2"/>
          <w:sz w:val="32"/>
          <w:szCs w:val="32"/>
          <w:highlight w:val="none"/>
        </w:rPr>
        <w:t>8.机械收获。因地制宜采用分段收获或一次性机械收获。 高产田、茬口紧张田块建议分段收获，低产或茬口不紧张的  田块可采取一次性机收。分段收获，应在全田油菜70-80%角果外观颜色呈黄绿或淡黄，采用割晒机或人工进行割晒作业，就地晾晒后熟5-7天，成熟度达到95%后，用捡拾收获机进行捡拾、脱粒及清选作业。一次性机械收获，要在全田90%以上油菜角果外观颜色全部变黄色或褐色、完熟度基本一致时收获。联合收割作业质量应符合总损失率</w:t>
      </w:r>
      <w:r>
        <w:rPr>
          <w:rFonts w:hint="eastAsia" w:eastAsia="仿宋_GB2312" w:cs="Times New Roman"/>
          <w:kern w:val="2"/>
          <w:sz w:val="32"/>
          <w:szCs w:val="32"/>
          <w:highlight w:val="none"/>
          <w:lang w:eastAsia="zh-CN"/>
        </w:rPr>
        <w:t>≤</w:t>
      </w:r>
      <w:r>
        <w:rPr>
          <w:rFonts w:ascii="Times New Roman" w:hAnsi="Times New Roman" w:eastAsia="仿宋_GB2312" w:cs="Times New Roman"/>
          <w:kern w:val="2"/>
          <w:sz w:val="32"/>
          <w:szCs w:val="32"/>
          <w:highlight w:val="none"/>
        </w:rPr>
        <w:t>8%、含杂率</w:t>
      </w:r>
      <w:r>
        <w:rPr>
          <w:rFonts w:hint="eastAsia" w:eastAsia="仿宋_GB2312" w:cs="Times New Roman"/>
          <w:kern w:val="2"/>
          <w:sz w:val="32"/>
          <w:szCs w:val="32"/>
          <w:highlight w:val="none"/>
          <w:lang w:eastAsia="zh-CN"/>
        </w:rPr>
        <w:t>≤</w:t>
      </w:r>
      <w:r>
        <w:rPr>
          <w:rFonts w:ascii="Times New Roman" w:hAnsi="Times New Roman" w:eastAsia="仿宋_GB2312" w:cs="Times New Roman"/>
          <w:kern w:val="2"/>
          <w:sz w:val="32"/>
          <w:szCs w:val="32"/>
          <w:highlight w:val="none"/>
        </w:rPr>
        <w:t>6%的要求，割茬高度应不超过25cm</w:t>
      </w:r>
      <w:r>
        <w:rPr>
          <w:rFonts w:hint="eastAsia" w:ascii="仿宋_GB2312" w:hAnsi="仿宋_GB2312" w:eastAsia="仿宋_GB2312" w:cs="仿宋_GB2312"/>
          <w:kern w:val="2"/>
          <w:sz w:val="32"/>
          <w:szCs w:val="32"/>
          <w:highlight w:val="none"/>
        </w:rPr>
        <w:t>;</w:t>
      </w:r>
      <w:r>
        <w:rPr>
          <w:rFonts w:ascii="Times New Roman" w:hAnsi="Times New Roman" w:eastAsia="仿宋_GB2312" w:cs="Times New Roman"/>
          <w:kern w:val="2"/>
          <w:sz w:val="32"/>
          <w:szCs w:val="32"/>
          <w:highlight w:val="none"/>
        </w:rPr>
        <w:t>分段收获作业质量应符合总损失率</w:t>
      </w:r>
      <w:r>
        <w:rPr>
          <w:rFonts w:hint="eastAsia" w:eastAsia="仿宋_GB2312" w:cs="Times New Roman"/>
          <w:kern w:val="2"/>
          <w:sz w:val="32"/>
          <w:szCs w:val="32"/>
          <w:highlight w:val="none"/>
          <w:lang w:eastAsia="zh-CN"/>
        </w:rPr>
        <w:t>≤</w:t>
      </w:r>
      <w:r>
        <w:rPr>
          <w:rFonts w:ascii="Times New Roman" w:hAnsi="Times New Roman" w:eastAsia="仿宋_GB2312" w:cs="Times New Roman"/>
          <w:kern w:val="2"/>
          <w:sz w:val="32"/>
          <w:szCs w:val="32"/>
          <w:highlight w:val="none"/>
        </w:rPr>
        <w:t>6.5%、含杂率</w:t>
      </w:r>
      <w:r>
        <w:rPr>
          <w:rFonts w:hint="eastAsia" w:eastAsia="仿宋_GB2312" w:cs="Times New Roman"/>
          <w:kern w:val="2"/>
          <w:sz w:val="32"/>
          <w:szCs w:val="32"/>
          <w:highlight w:val="none"/>
          <w:lang w:eastAsia="zh-CN"/>
        </w:rPr>
        <w:t>≤</w:t>
      </w:r>
      <w:r>
        <w:rPr>
          <w:rFonts w:ascii="Times New Roman" w:hAnsi="Times New Roman" w:eastAsia="仿宋_GB2312" w:cs="Times New Roman"/>
          <w:kern w:val="2"/>
          <w:sz w:val="32"/>
          <w:szCs w:val="32"/>
          <w:highlight w:val="none"/>
        </w:rPr>
        <w:t>5%、破碎率</w:t>
      </w:r>
      <w:r>
        <w:rPr>
          <w:rFonts w:hint="eastAsia" w:eastAsia="仿宋_GB2312" w:cs="Times New Roman"/>
          <w:kern w:val="2"/>
          <w:sz w:val="32"/>
          <w:szCs w:val="32"/>
          <w:highlight w:val="none"/>
          <w:lang w:eastAsia="zh-CN"/>
        </w:rPr>
        <w:t>≤</w:t>
      </w:r>
      <w:r>
        <w:rPr>
          <w:rFonts w:ascii="Times New Roman" w:hAnsi="Times New Roman" w:eastAsia="仿宋_GB2312" w:cs="Times New Roman"/>
          <w:kern w:val="2"/>
          <w:sz w:val="32"/>
          <w:szCs w:val="32"/>
          <w:highlight w:val="none"/>
        </w:rPr>
        <w:t>0.5%等要求。收获的菜籽及时晾晒，积极推广油菜烘干技术，水份</w:t>
      </w:r>
      <w:r>
        <w:rPr>
          <w:rFonts w:hint="eastAsia" w:eastAsia="仿宋_GB2312" w:cs="Times New Roman"/>
          <w:kern w:val="2"/>
          <w:sz w:val="32"/>
          <w:szCs w:val="32"/>
          <w:highlight w:val="none"/>
          <w:lang w:eastAsia="zh-CN"/>
        </w:rPr>
        <w:t>≤</w:t>
      </w:r>
      <w:r>
        <w:rPr>
          <w:rFonts w:ascii="Times New Roman" w:hAnsi="Times New Roman" w:eastAsia="仿宋_GB2312" w:cs="Times New Roman"/>
          <w:kern w:val="2"/>
          <w:sz w:val="32"/>
          <w:szCs w:val="32"/>
          <w:highlight w:val="none"/>
        </w:rPr>
        <w:t>9%时入库或放阴凉通风处储藏。</w:t>
      </w:r>
    </w:p>
    <w:p>
      <w:pPr>
        <w:pStyle w:val="8"/>
        <w:widowControl/>
        <w:spacing w:before="0" w:beforeAutospacing="0" w:after="0" w:afterAutospacing="0" w:line="500" w:lineRule="exact"/>
        <w:jc w:val="both"/>
        <w:rPr>
          <w:rFonts w:hint="eastAsia" w:ascii="楷体" w:hAnsi="楷体" w:eastAsia="楷体" w:cs="楷体"/>
          <w:sz w:val="28"/>
          <w:szCs w:val="28"/>
        </w:rPr>
      </w:pPr>
    </w:p>
    <w:p>
      <w:pPr>
        <w:pStyle w:val="8"/>
        <w:widowControl/>
        <w:spacing w:before="0" w:beforeAutospacing="0" w:after="0" w:afterAutospacing="0" w:line="500" w:lineRule="exact"/>
        <w:jc w:val="both"/>
        <w:rPr>
          <w:rFonts w:hint="eastAsia" w:ascii="楷体" w:hAnsi="楷体" w:eastAsia="楷体" w:cs="楷体"/>
          <w:sz w:val="28"/>
          <w:szCs w:val="28"/>
        </w:rPr>
      </w:pPr>
    </w:p>
    <w:p>
      <w:pPr>
        <w:pStyle w:val="8"/>
        <w:widowControl/>
        <w:spacing w:before="0" w:beforeAutospacing="0" w:after="0" w:afterAutospacing="0" w:line="500" w:lineRule="exact"/>
        <w:jc w:val="both"/>
        <w:rPr>
          <w:rFonts w:hint="eastAsia" w:ascii="楷体" w:hAnsi="楷体" w:eastAsia="楷体" w:cs="楷体"/>
          <w:sz w:val="28"/>
          <w:szCs w:val="28"/>
        </w:rPr>
      </w:pPr>
    </w:p>
    <w:p>
      <w:pPr>
        <w:pStyle w:val="8"/>
        <w:widowControl/>
        <w:spacing w:before="0" w:beforeAutospacing="0" w:after="0" w:afterAutospacing="0" w:line="500" w:lineRule="exact"/>
        <w:jc w:val="both"/>
        <w:rPr>
          <w:rFonts w:hint="eastAsia" w:ascii="楷体" w:hAnsi="楷体" w:eastAsia="楷体" w:cs="楷体"/>
          <w:sz w:val="28"/>
          <w:szCs w:val="28"/>
        </w:rPr>
      </w:pPr>
    </w:p>
    <w:p>
      <w:pPr>
        <w:pStyle w:val="8"/>
        <w:widowControl/>
        <w:spacing w:before="0" w:beforeAutospacing="0" w:after="0" w:afterAutospacing="0" w:line="500" w:lineRule="exact"/>
        <w:jc w:val="both"/>
        <w:rPr>
          <w:rFonts w:hint="eastAsia" w:ascii="楷体" w:hAnsi="楷体" w:eastAsia="楷体" w:cs="楷体"/>
          <w:sz w:val="28"/>
          <w:szCs w:val="28"/>
        </w:rPr>
      </w:pPr>
    </w:p>
    <w:p>
      <w:pPr>
        <w:pStyle w:val="8"/>
        <w:widowControl/>
        <w:spacing w:before="0" w:beforeAutospacing="0" w:after="0" w:afterAutospacing="0" w:line="500" w:lineRule="exact"/>
        <w:jc w:val="both"/>
        <w:rPr>
          <w:rFonts w:hint="eastAsia" w:ascii="楷体" w:hAnsi="楷体" w:eastAsia="楷体" w:cs="楷体"/>
          <w:sz w:val="28"/>
          <w:szCs w:val="28"/>
        </w:rPr>
      </w:pPr>
    </w:p>
    <w:p>
      <w:pPr>
        <w:pStyle w:val="8"/>
        <w:widowControl/>
        <w:spacing w:before="0" w:beforeAutospacing="0" w:after="0" w:afterAutospacing="0" w:line="500" w:lineRule="exact"/>
        <w:jc w:val="both"/>
        <w:rPr>
          <w:rFonts w:hint="eastAsia" w:ascii="楷体" w:hAnsi="楷体" w:eastAsia="楷体" w:cs="楷体"/>
          <w:sz w:val="28"/>
          <w:szCs w:val="28"/>
        </w:rPr>
      </w:pPr>
    </w:p>
    <w:p>
      <w:pPr>
        <w:widowControl w:val="0"/>
        <w:spacing w:line="560" w:lineRule="exact"/>
        <w:rPr>
          <w:rFonts w:hint="eastAsia" w:ascii="黑体" w:hAnsi="黑体" w:eastAsia="黑体" w:cs="仿宋_GB2312"/>
          <w:kern w:val="2"/>
          <w:sz w:val="32"/>
          <w:szCs w:val="32"/>
          <w:highlight w:val="none"/>
          <w:lang w:val="en-US" w:eastAsia="zh-CN"/>
        </w:rPr>
      </w:pPr>
      <w:r>
        <w:rPr>
          <w:rFonts w:hint="eastAsia" w:ascii="黑体" w:hAnsi="黑体" w:eastAsia="黑体" w:cs="仿宋_GB2312"/>
          <w:kern w:val="2"/>
          <w:sz w:val="32"/>
          <w:szCs w:val="32"/>
          <w:highlight w:val="none"/>
        </w:rPr>
        <w:t>附件</w:t>
      </w:r>
      <w:r>
        <w:rPr>
          <w:rFonts w:hint="eastAsia" w:ascii="黑体" w:hAnsi="黑体" w:eastAsia="黑体" w:cs="仿宋_GB2312"/>
          <w:kern w:val="2"/>
          <w:sz w:val="32"/>
          <w:szCs w:val="32"/>
          <w:highlight w:val="none"/>
          <w:lang w:val="en-US" w:eastAsia="zh-CN"/>
        </w:rPr>
        <w:t>5</w:t>
      </w:r>
    </w:p>
    <w:p>
      <w:pPr>
        <w:widowControl w:val="0"/>
        <w:spacing w:line="560" w:lineRule="exact"/>
        <w:jc w:val="center"/>
        <w:rPr>
          <w:rFonts w:hint="eastAsia" w:ascii="方正小标宋简体" w:hAnsi="方正小标宋简体" w:eastAsia="方正小标宋简体" w:cs="方正小标宋简体"/>
          <w:kern w:val="2"/>
          <w:sz w:val="36"/>
          <w:szCs w:val="36"/>
          <w:highlight w:val="none"/>
          <w:lang w:eastAsia="zh-CN"/>
        </w:rPr>
      </w:pPr>
      <w:r>
        <w:rPr>
          <w:rFonts w:hint="eastAsia" w:ascii="方正小标宋简体" w:hAnsi="方正小标宋简体" w:eastAsia="方正小标宋简体" w:cs="方正小标宋简体"/>
          <w:kern w:val="2"/>
          <w:sz w:val="36"/>
          <w:szCs w:val="36"/>
          <w:highlight w:val="none"/>
        </w:rPr>
        <w:t>武汉市</w:t>
      </w:r>
      <w:r>
        <w:rPr>
          <w:rFonts w:hint="eastAsia" w:ascii="方正小标宋简体" w:hAnsi="方正小标宋简体" w:eastAsia="方正小标宋简体" w:cs="方正小标宋简体"/>
          <w:kern w:val="2"/>
          <w:sz w:val="36"/>
          <w:szCs w:val="36"/>
          <w:highlight w:val="none"/>
          <w:lang w:eastAsia="zh-CN"/>
        </w:rPr>
        <w:t>江夏区</w:t>
      </w:r>
      <w:r>
        <w:rPr>
          <w:rFonts w:hint="eastAsia" w:ascii="方正小标宋简体" w:hAnsi="方正小标宋简体" w:eastAsia="方正小标宋简体" w:cs="方正小标宋简体"/>
          <w:kern w:val="2"/>
          <w:sz w:val="36"/>
          <w:szCs w:val="36"/>
          <w:highlight w:val="none"/>
        </w:rPr>
        <w:t>油菜</w:t>
      </w:r>
      <w:r>
        <w:rPr>
          <w:rFonts w:hint="eastAsia" w:ascii="方正小标宋简体" w:hAnsi="方正小标宋简体" w:eastAsia="方正小标宋简体" w:cs="方正小标宋简体"/>
          <w:kern w:val="2"/>
          <w:sz w:val="36"/>
          <w:szCs w:val="36"/>
          <w:highlight w:val="none"/>
          <w:lang w:eastAsia="zh-CN"/>
        </w:rPr>
        <w:t>播栽质量和面积认定标准</w:t>
      </w:r>
    </w:p>
    <w:p>
      <w:pPr>
        <w:widowControl w:val="0"/>
        <w:spacing w:line="550" w:lineRule="exact"/>
        <w:rPr>
          <w:rFonts w:ascii="等线" w:hAnsi="等线" w:eastAsia="等线" w:cs="Times New Roman"/>
          <w:kern w:val="2"/>
          <w:szCs w:val="22"/>
          <w:highlight w:val="none"/>
        </w:rPr>
      </w:pPr>
    </w:p>
    <w:p>
      <w:pPr>
        <w:widowControl w:val="0"/>
        <w:numPr>
          <w:ilvl w:val="0"/>
          <w:numId w:val="0"/>
        </w:numPr>
        <w:spacing w:line="550" w:lineRule="exact"/>
        <w:ind w:firstLine="640" w:firstLineChars="200"/>
        <w:rPr>
          <w:rFonts w:ascii="Times New Roman" w:hAnsi="Times New Roman" w:eastAsia="仿宋_GB2312" w:cs="Times New Roman"/>
          <w:kern w:val="2"/>
          <w:sz w:val="32"/>
          <w:szCs w:val="32"/>
          <w:highlight w:val="none"/>
        </w:rPr>
      </w:pPr>
      <w:r>
        <w:rPr>
          <w:rFonts w:hint="eastAsia" w:eastAsia="楷体_GB2312" w:cs="Times New Roman"/>
          <w:kern w:val="2"/>
          <w:sz w:val="32"/>
          <w:szCs w:val="32"/>
          <w:highlight w:val="none"/>
          <w:lang w:eastAsia="zh-CN"/>
        </w:rPr>
        <w:t>一、</w:t>
      </w:r>
      <w:r>
        <w:rPr>
          <w:rFonts w:ascii="Times New Roman" w:hAnsi="Times New Roman" w:eastAsia="楷体_GB2312" w:cs="Times New Roman"/>
          <w:kern w:val="2"/>
          <w:sz w:val="32"/>
          <w:szCs w:val="32"/>
          <w:highlight w:val="none"/>
        </w:rPr>
        <w:t>选用良种。</w:t>
      </w:r>
      <w:r>
        <w:rPr>
          <w:rFonts w:ascii="Times New Roman" w:hAnsi="Times New Roman" w:eastAsia="仿宋_GB2312" w:cs="Times New Roman"/>
          <w:kern w:val="2"/>
          <w:sz w:val="32"/>
          <w:szCs w:val="32"/>
          <w:highlight w:val="none"/>
        </w:rPr>
        <w:t>根据《武汉市202</w:t>
      </w:r>
      <w:r>
        <w:rPr>
          <w:rFonts w:hint="eastAsia" w:eastAsia="仿宋_GB2312" w:cs="Times New Roman"/>
          <w:kern w:val="2"/>
          <w:sz w:val="32"/>
          <w:szCs w:val="32"/>
          <w:highlight w:val="none"/>
          <w:lang w:val="en-US" w:eastAsia="zh-CN"/>
        </w:rPr>
        <w:t>5</w:t>
      </w:r>
      <w:r>
        <w:rPr>
          <w:rFonts w:ascii="Times New Roman" w:hAnsi="Times New Roman" w:eastAsia="仿宋_GB2312" w:cs="Times New Roman"/>
          <w:kern w:val="2"/>
          <w:sz w:val="32"/>
          <w:szCs w:val="32"/>
          <w:highlight w:val="none"/>
        </w:rPr>
        <w:t>年油菜轮作示范项目实施方案》要求，</w:t>
      </w:r>
      <w:r>
        <w:rPr>
          <w:rFonts w:hint="eastAsia" w:eastAsia="仿宋_GB2312" w:cs="Times New Roman"/>
          <w:kern w:val="2"/>
          <w:sz w:val="32"/>
          <w:szCs w:val="32"/>
          <w:highlight w:val="none"/>
          <w:lang w:eastAsia="zh-CN"/>
        </w:rPr>
        <w:t>江夏区农业技术推广中心按照政府集中采购油菜种子，该品种符合</w:t>
      </w:r>
      <w:r>
        <w:rPr>
          <w:rFonts w:ascii="Times New Roman" w:hAnsi="Times New Roman" w:eastAsia="仿宋_GB2312" w:cs="Times New Roman"/>
          <w:kern w:val="2"/>
          <w:sz w:val="32"/>
          <w:szCs w:val="32"/>
          <w:highlight w:val="none"/>
        </w:rPr>
        <w:t>高产稳产、抗性较强的“双低”油菜品种，严禁使用转基因种子、严禁从油菜根肿病疫区调种。</w:t>
      </w:r>
    </w:p>
    <w:p>
      <w:pPr>
        <w:widowControl w:val="0"/>
        <w:spacing w:line="550" w:lineRule="exact"/>
        <w:ind w:firstLine="640" w:firstLineChars="200"/>
        <w:rPr>
          <w:rFonts w:ascii="Times New Roman" w:hAnsi="Times New Roman" w:eastAsia="仿宋_GB2312" w:cs="Times New Roman"/>
          <w:kern w:val="2"/>
          <w:sz w:val="32"/>
          <w:szCs w:val="32"/>
          <w:highlight w:val="none"/>
        </w:rPr>
      </w:pPr>
      <w:r>
        <w:rPr>
          <w:rFonts w:hint="eastAsia" w:eastAsia="楷体_GB2312" w:cs="Times New Roman"/>
          <w:kern w:val="2"/>
          <w:sz w:val="32"/>
          <w:szCs w:val="32"/>
          <w:highlight w:val="none"/>
          <w:lang w:eastAsia="zh-CN"/>
        </w:rPr>
        <w:t>二、</w:t>
      </w:r>
      <w:r>
        <w:rPr>
          <w:rFonts w:ascii="Times New Roman" w:hAnsi="Times New Roman" w:eastAsia="楷体_GB2312" w:cs="Times New Roman"/>
          <w:kern w:val="2"/>
          <w:sz w:val="32"/>
          <w:szCs w:val="32"/>
          <w:highlight w:val="none"/>
        </w:rPr>
        <w:t>种子处理。</w:t>
      </w:r>
      <w:r>
        <w:rPr>
          <w:rFonts w:ascii="Times New Roman" w:hAnsi="Times New Roman" w:eastAsia="仿宋_GB2312" w:cs="Times New Roman"/>
          <w:kern w:val="2"/>
          <w:sz w:val="32"/>
          <w:szCs w:val="32"/>
          <w:highlight w:val="none"/>
        </w:rPr>
        <w:t>播种前采用新美洲星、噻虫胺等拌种，促进油菜速发快长并有效防治苗期病虫害。选用新美洲星拌种，宜用30ml原液不加水拌0.75公斤种子，随拌随播；用噻虫胺等拌种，须严格按产品使用说明进行操作。</w:t>
      </w:r>
    </w:p>
    <w:p>
      <w:pPr>
        <w:widowControl w:val="0"/>
        <w:spacing w:line="550" w:lineRule="exact"/>
        <w:ind w:firstLine="640" w:firstLineChars="200"/>
        <w:rPr>
          <w:rFonts w:ascii="Times New Roman" w:hAnsi="Times New Roman" w:eastAsia="仿宋_GB2312" w:cs="Times New Roman"/>
          <w:kern w:val="2"/>
          <w:sz w:val="32"/>
          <w:szCs w:val="32"/>
          <w:highlight w:val="none"/>
        </w:rPr>
      </w:pPr>
      <w:r>
        <w:rPr>
          <w:rFonts w:hint="eastAsia" w:eastAsia="楷体_GB2312" w:cs="Times New Roman"/>
          <w:kern w:val="2"/>
          <w:sz w:val="32"/>
          <w:szCs w:val="32"/>
          <w:highlight w:val="none"/>
          <w:lang w:eastAsia="zh-CN"/>
        </w:rPr>
        <w:t>三、</w:t>
      </w:r>
      <w:r>
        <w:rPr>
          <w:rFonts w:ascii="Times New Roman" w:hAnsi="Times New Roman" w:eastAsia="楷体_GB2312" w:cs="Times New Roman"/>
          <w:kern w:val="2"/>
          <w:sz w:val="32"/>
          <w:szCs w:val="32"/>
          <w:highlight w:val="none"/>
        </w:rPr>
        <w:t>合理密植。</w:t>
      </w:r>
      <w:r>
        <w:rPr>
          <w:rFonts w:ascii="Times New Roman" w:hAnsi="Times New Roman" w:eastAsia="仿宋_GB2312" w:cs="Times New Roman"/>
          <w:kern w:val="2"/>
          <w:sz w:val="32"/>
          <w:szCs w:val="32"/>
          <w:highlight w:val="none"/>
        </w:rPr>
        <w:t>10月上中旬播种，最佳密度2.0-2.5万株/亩。机播亩用种量250克左右，人工撒播、无人机飞播亩用种量300-400克。干旱年份、播期推迟相应增加用种量。播期每推迟5-10天，亩用种量增加50克，但亩用种量最多不超过500克。</w:t>
      </w:r>
    </w:p>
    <w:p>
      <w:pPr>
        <w:widowControl w:val="0"/>
        <w:spacing w:line="550" w:lineRule="exact"/>
        <w:ind w:firstLine="640" w:firstLineChars="200"/>
        <w:rPr>
          <w:rFonts w:hint="eastAsia" w:eastAsia="仿宋_GB2312" w:cs="Times New Roman"/>
          <w:b w:val="0"/>
          <w:bCs w:val="0"/>
          <w:kern w:val="2"/>
          <w:sz w:val="32"/>
          <w:szCs w:val="32"/>
          <w:highlight w:val="none"/>
          <w:lang w:val="en-US" w:eastAsia="zh-CN"/>
        </w:rPr>
      </w:pPr>
      <w:r>
        <w:rPr>
          <w:rFonts w:hint="eastAsia" w:eastAsia="仿宋_GB2312" w:cs="Times New Roman"/>
          <w:b w:val="0"/>
          <w:bCs w:val="0"/>
          <w:kern w:val="2"/>
          <w:sz w:val="32"/>
          <w:szCs w:val="32"/>
          <w:highlight w:val="none"/>
          <w:lang w:val="en-US" w:eastAsia="zh-CN"/>
        </w:rPr>
        <w:t>四、播栽质量。播栽后一月左右，单株绿叶数3-5片时苗正常。冬至时，一类苗：单株绿叶数9片以上；二类苗：单株绿叶数6-8片；三类苗：单株绿叶数4-6片；其它类苗：单株绿叶数4片以下。</w:t>
      </w:r>
    </w:p>
    <w:p>
      <w:pPr>
        <w:spacing w:line="600" w:lineRule="exact"/>
        <w:ind w:firstLine="640" w:firstLineChars="200"/>
        <w:rPr>
          <w:rFonts w:ascii="Times New Roman" w:hAnsi="Times New Roman" w:eastAsia="仿宋_GB2312" w:cs="Times New Roman"/>
          <w:kern w:val="2"/>
          <w:sz w:val="32"/>
          <w:szCs w:val="32"/>
          <w:highlight w:val="none"/>
        </w:rPr>
      </w:pPr>
      <w:r>
        <w:rPr>
          <w:rFonts w:hint="eastAsia" w:ascii="楷体" w:hAnsi="楷体" w:eastAsia="楷体" w:cs="楷体"/>
          <w:sz w:val="32"/>
          <w:szCs w:val="32"/>
          <w:lang w:eastAsia="zh-CN"/>
        </w:rPr>
        <w:t>五、</w:t>
      </w:r>
      <w:r>
        <w:rPr>
          <w:rFonts w:hint="eastAsia" w:ascii="楷体" w:hAnsi="楷体" w:eastAsia="楷体" w:cs="楷体"/>
          <w:sz w:val="32"/>
          <w:szCs w:val="32"/>
        </w:rPr>
        <w:t>面积认定。</w:t>
      </w:r>
      <w:r>
        <w:rPr>
          <w:rFonts w:hint="eastAsia" w:ascii="仿宋" w:hAnsi="仿宋" w:eastAsia="仿宋" w:cs="仿宋"/>
          <w:sz w:val="32"/>
          <w:szCs w:val="32"/>
          <w:lang w:eastAsia="zh-CN"/>
        </w:rPr>
        <w:t>区农业技术推广中心组织制定本项目油菜播栽质量和面积认定标准。严格落实“谁种谁签字”规定，明确新型经营主体土地流转、代耕代种面积认定程序。提供统一作业服务的，可通过“湖北省北斗农机信息化智能管理系统”监测数据核实作业面积。街道负责实施面积核定工作，填报《江夏区油菜轮作示范项目任务验收单》，农户、新型经营主体签字确认。区农业技术推广中心要及时对各街道的面积核定情况进行复核，并及时公示</w:t>
      </w:r>
      <w:r>
        <w:rPr>
          <w:rFonts w:hint="eastAsia" w:ascii="仿宋" w:hAnsi="仿宋" w:eastAsia="仿宋" w:cs="仿宋"/>
          <w:sz w:val="32"/>
          <w:szCs w:val="32"/>
        </w:rPr>
        <w:t>。</w:t>
      </w:r>
    </w:p>
    <w:p/>
    <w:p>
      <w:pPr>
        <w:pStyle w:val="8"/>
        <w:widowControl/>
        <w:spacing w:before="0" w:beforeAutospacing="0" w:after="0" w:afterAutospacing="0" w:line="500" w:lineRule="exact"/>
        <w:jc w:val="both"/>
        <w:rPr>
          <w:rFonts w:hint="eastAsia" w:ascii="楷体" w:hAnsi="楷体" w:eastAsia="楷体" w:cs="楷体"/>
          <w:sz w:val="28"/>
          <w:szCs w:val="28"/>
        </w:rPr>
      </w:pPr>
    </w:p>
    <w:sectPr>
      <w:footerReference r:id="rId5" w:type="default"/>
      <w:pgSz w:w="11906" w:h="16838"/>
      <w:pgMar w:top="1440" w:right="1797"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- 2 -</w:t>
                          </w:r>
                          <w:r>
                            <w:rPr>
                              <w:rFonts w:hint="eastAsia" w:ascii="仿宋" w:hAnsi="仿宋" w:eastAsia="仿宋" w:cs="仿宋"/>
                              <w:sz w:val="32"/>
                              <w:szCs w:val="32"/>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0Q131ywEAAJwDAAAOAAAA&#10;AAAAAAEAIAAAADQBAABkcnMvZTJvRG9jLnhtbFBLBQYAAAAABgAGAFkBAABxBQAAAAA=&#10;">
              <v:fill on="f" focussize="0,0"/>
              <v:stroke on="f"/>
              <v:imagedata o:title=""/>
              <o:lock v:ext="edit" aspectratio="f"/>
              <v:textbox inset="0mm,0mm,0mm,0mm" style="mso-fit-shape-to-text:t;">
                <w:txbxContent>
                  <w:p>
                    <w:pPr>
                      <w:pStyle w:val="6"/>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- 2 -</w:t>
                    </w:r>
                    <w:r>
                      <w:rPr>
                        <w:rFonts w:hint="eastAsia" w:ascii="仿宋" w:hAnsi="仿宋" w:eastAsia="仿宋" w:cs="仿宋"/>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21"/>
        <w:szCs w:val="21"/>
      </w:rPr>
      <w:fldChar w:fldCharType="begin"/>
    </w:r>
    <w:r>
      <w:rPr>
        <w:rFonts w:hint="eastAsia"/>
      </w:rPr>
      <w:instrText xml:space="preserve">PAGE  \* MERGEFORMAT</w:instrText>
    </w:r>
    <w:r>
      <w:fldChar w:fldCharType="separate"/>
    </w:r>
    <w:r>
      <w:rPr>
        <w:lang w:val="zh-CN"/>
      </w:rPr>
      <w:t>6</w:t>
    </w:r>
    <w:r>
      <w:rPr>
        <w:sz w:val="21"/>
        <w:szCs w:val="21"/>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NWJkMTlkNWZhNWRhMDgyN2RkMmM2MzJmYjQ5ZjIifQ=="/>
    <w:docVar w:name="KSO_WPS_MARK_KEY" w:val="234decb3-7e58-4e1b-9f8c-1561cdc04191"/>
  </w:docVars>
  <w:rsids>
    <w:rsidRoot w:val="002E1696"/>
    <w:rsid w:val="00000550"/>
    <w:rsid w:val="00000869"/>
    <w:rsid w:val="00001C2D"/>
    <w:rsid w:val="00001FA1"/>
    <w:rsid w:val="00002D12"/>
    <w:rsid w:val="00002E66"/>
    <w:rsid w:val="000030CF"/>
    <w:rsid w:val="00003EE2"/>
    <w:rsid w:val="000055D6"/>
    <w:rsid w:val="00005712"/>
    <w:rsid w:val="00005E51"/>
    <w:rsid w:val="0000671B"/>
    <w:rsid w:val="0000686B"/>
    <w:rsid w:val="0000708B"/>
    <w:rsid w:val="00007250"/>
    <w:rsid w:val="00007528"/>
    <w:rsid w:val="00007A66"/>
    <w:rsid w:val="0001000B"/>
    <w:rsid w:val="00010131"/>
    <w:rsid w:val="00010856"/>
    <w:rsid w:val="00011331"/>
    <w:rsid w:val="000116BF"/>
    <w:rsid w:val="000123F6"/>
    <w:rsid w:val="00013482"/>
    <w:rsid w:val="00013654"/>
    <w:rsid w:val="0001377E"/>
    <w:rsid w:val="00013B8F"/>
    <w:rsid w:val="00013CC7"/>
    <w:rsid w:val="0001426F"/>
    <w:rsid w:val="0001526B"/>
    <w:rsid w:val="00015341"/>
    <w:rsid w:val="0001546B"/>
    <w:rsid w:val="00015C5C"/>
    <w:rsid w:val="0001652C"/>
    <w:rsid w:val="000165F2"/>
    <w:rsid w:val="00016907"/>
    <w:rsid w:val="00016A06"/>
    <w:rsid w:val="00016BD0"/>
    <w:rsid w:val="00017A2D"/>
    <w:rsid w:val="00020500"/>
    <w:rsid w:val="00020760"/>
    <w:rsid w:val="00020E6F"/>
    <w:rsid w:val="00020F3C"/>
    <w:rsid w:val="00022F0A"/>
    <w:rsid w:val="000231A2"/>
    <w:rsid w:val="000232E9"/>
    <w:rsid w:val="0002361E"/>
    <w:rsid w:val="00023870"/>
    <w:rsid w:val="000242E4"/>
    <w:rsid w:val="000244F3"/>
    <w:rsid w:val="00024D29"/>
    <w:rsid w:val="00025CFC"/>
    <w:rsid w:val="000264A7"/>
    <w:rsid w:val="00027438"/>
    <w:rsid w:val="00027DEE"/>
    <w:rsid w:val="00027FA2"/>
    <w:rsid w:val="00030065"/>
    <w:rsid w:val="000317A9"/>
    <w:rsid w:val="00031BF0"/>
    <w:rsid w:val="00031F48"/>
    <w:rsid w:val="000320FD"/>
    <w:rsid w:val="00032162"/>
    <w:rsid w:val="000327D4"/>
    <w:rsid w:val="00032EC9"/>
    <w:rsid w:val="0003312E"/>
    <w:rsid w:val="00033486"/>
    <w:rsid w:val="000341E3"/>
    <w:rsid w:val="00035454"/>
    <w:rsid w:val="000362FD"/>
    <w:rsid w:val="0003631B"/>
    <w:rsid w:val="00036D27"/>
    <w:rsid w:val="00036DA3"/>
    <w:rsid w:val="00037A4A"/>
    <w:rsid w:val="000405D2"/>
    <w:rsid w:val="00040AB2"/>
    <w:rsid w:val="00040CF2"/>
    <w:rsid w:val="000410B3"/>
    <w:rsid w:val="000410CD"/>
    <w:rsid w:val="00041BFF"/>
    <w:rsid w:val="000421BB"/>
    <w:rsid w:val="00043395"/>
    <w:rsid w:val="000435B4"/>
    <w:rsid w:val="00043999"/>
    <w:rsid w:val="00043F46"/>
    <w:rsid w:val="0004443F"/>
    <w:rsid w:val="00044B8A"/>
    <w:rsid w:val="000452CD"/>
    <w:rsid w:val="000452F5"/>
    <w:rsid w:val="00045552"/>
    <w:rsid w:val="000455E3"/>
    <w:rsid w:val="00045A0A"/>
    <w:rsid w:val="00045B4B"/>
    <w:rsid w:val="0004647D"/>
    <w:rsid w:val="00046C58"/>
    <w:rsid w:val="00046EE6"/>
    <w:rsid w:val="00046F53"/>
    <w:rsid w:val="000473C4"/>
    <w:rsid w:val="000478D6"/>
    <w:rsid w:val="000502AD"/>
    <w:rsid w:val="00050BE8"/>
    <w:rsid w:val="00050D5C"/>
    <w:rsid w:val="000511E2"/>
    <w:rsid w:val="0005132F"/>
    <w:rsid w:val="00051388"/>
    <w:rsid w:val="00052185"/>
    <w:rsid w:val="00053405"/>
    <w:rsid w:val="000535F0"/>
    <w:rsid w:val="000535F7"/>
    <w:rsid w:val="00053F2C"/>
    <w:rsid w:val="0005446F"/>
    <w:rsid w:val="00055127"/>
    <w:rsid w:val="000551C7"/>
    <w:rsid w:val="0005591C"/>
    <w:rsid w:val="00055A8B"/>
    <w:rsid w:val="00055E94"/>
    <w:rsid w:val="00056400"/>
    <w:rsid w:val="00056CA0"/>
    <w:rsid w:val="00056ED1"/>
    <w:rsid w:val="00057502"/>
    <w:rsid w:val="0005758C"/>
    <w:rsid w:val="0005780F"/>
    <w:rsid w:val="000601AE"/>
    <w:rsid w:val="00060A21"/>
    <w:rsid w:val="00061003"/>
    <w:rsid w:val="0006172A"/>
    <w:rsid w:val="00061F62"/>
    <w:rsid w:val="00061FBE"/>
    <w:rsid w:val="000624FC"/>
    <w:rsid w:val="00062564"/>
    <w:rsid w:val="00062D07"/>
    <w:rsid w:val="00062EA2"/>
    <w:rsid w:val="00062FE7"/>
    <w:rsid w:val="00064007"/>
    <w:rsid w:val="00064511"/>
    <w:rsid w:val="00065644"/>
    <w:rsid w:val="0006576F"/>
    <w:rsid w:val="00066977"/>
    <w:rsid w:val="00066DCC"/>
    <w:rsid w:val="00066F9B"/>
    <w:rsid w:val="0006723A"/>
    <w:rsid w:val="0007087B"/>
    <w:rsid w:val="000708F9"/>
    <w:rsid w:val="00070CC9"/>
    <w:rsid w:val="00072702"/>
    <w:rsid w:val="00072917"/>
    <w:rsid w:val="00072C16"/>
    <w:rsid w:val="00072DCC"/>
    <w:rsid w:val="0007342D"/>
    <w:rsid w:val="0007382D"/>
    <w:rsid w:val="00073CF7"/>
    <w:rsid w:val="000742B2"/>
    <w:rsid w:val="00074884"/>
    <w:rsid w:val="00074C9C"/>
    <w:rsid w:val="00075680"/>
    <w:rsid w:val="00075CE4"/>
    <w:rsid w:val="00075EE6"/>
    <w:rsid w:val="00076017"/>
    <w:rsid w:val="00076563"/>
    <w:rsid w:val="00080400"/>
    <w:rsid w:val="00082662"/>
    <w:rsid w:val="00082702"/>
    <w:rsid w:val="00082780"/>
    <w:rsid w:val="00082C4A"/>
    <w:rsid w:val="000839BF"/>
    <w:rsid w:val="00083B20"/>
    <w:rsid w:val="00084700"/>
    <w:rsid w:val="000847D5"/>
    <w:rsid w:val="00084FB6"/>
    <w:rsid w:val="000854EA"/>
    <w:rsid w:val="00085674"/>
    <w:rsid w:val="000859F2"/>
    <w:rsid w:val="00085CB7"/>
    <w:rsid w:val="00085E15"/>
    <w:rsid w:val="00085E48"/>
    <w:rsid w:val="00086DA3"/>
    <w:rsid w:val="00087398"/>
    <w:rsid w:val="000905F4"/>
    <w:rsid w:val="00090A44"/>
    <w:rsid w:val="000916EA"/>
    <w:rsid w:val="0009174A"/>
    <w:rsid w:val="00092113"/>
    <w:rsid w:val="000927FD"/>
    <w:rsid w:val="000928D1"/>
    <w:rsid w:val="0009293C"/>
    <w:rsid w:val="000941A7"/>
    <w:rsid w:val="00094286"/>
    <w:rsid w:val="00095235"/>
    <w:rsid w:val="00095A9A"/>
    <w:rsid w:val="00095AC9"/>
    <w:rsid w:val="0009616D"/>
    <w:rsid w:val="000961A1"/>
    <w:rsid w:val="0009644F"/>
    <w:rsid w:val="00096811"/>
    <w:rsid w:val="00096ECC"/>
    <w:rsid w:val="000976A9"/>
    <w:rsid w:val="000A006F"/>
    <w:rsid w:val="000A0516"/>
    <w:rsid w:val="000A0584"/>
    <w:rsid w:val="000A071C"/>
    <w:rsid w:val="000A0B98"/>
    <w:rsid w:val="000A0C54"/>
    <w:rsid w:val="000A1202"/>
    <w:rsid w:val="000A1612"/>
    <w:rsid w:val="000A167A"/>
    <w:rsid w:val="000A244F"/>
    <w:rsid w:val="000A265F"/>
    <w:rsid w:val="000A2662"/>
    <w:rsid w:val="000A274E"/>
    <w:rsid w:val="000A2D28"/>
    <w:rsid w:val="000A2DCE"/>
    <w:rsid w:val="000A328C"/>
    <w:rsid w:val="000A3744"/>
    <w:rsid w:val="000A3CE0"/>
    <w:rsid w:val="000A3D9D"/>
    <w:rsid w:val="000A3FF2"/>
    <w:rsid w:val="000A4047"/>
    <w:rsid w:val="000A460A"/>
    <w:rsid w:val="000A6222"/>
    <w:rsid w:val="000A740A"/>
    <w:rsid w:val="000A7C7C"/>
    <w:rsid w:val="000B002F"/>
    <w:rsid w:val="000B00D0"/>
    <w:rsid w:val="000B018E"/>
    <w:rsid w:val="000B09EB"/>
    <w:rsid w:val="000B0F83"/>
    <w:rsid w:val="000B1D14"/>
    <w:rsid w:val="000B2140"/>
    <w:rsid w:val="000B21B1"/>
    <w:rsid w:val="000B21F9"/>
    <w:rsid w:val="000B2315"/>
    <w:rsid w:val="000B3579"/>
    <w:rsid w:val="000B3955"/>
    <w:rsid w:val="000B3CD9"/>
    <w:rsid w:val="000B4170"/>
    <w:rsid w:val="000B4330"/>
    <w:rsid w:val="000B44EB"/>
    <w:rsid w:val="000B4F72"/>
    <w:rsid w:val="000B4F9D"/>
    <w:rsid w:val="000B4FF5"/>
    <w:rsid w:val="000B4FFA"/>
    <w:rsid w:val="000B510B"/>
    <w:rsid w:val="000B541D"/>
    <w:rsid w:val="000B5918"/>
    <w:rsid w:val="000B5AD0"/>
    <w:rsid w:val="000B6283"/>
    <w:rsid w:val="000B630F"/>
    <w:rsid w:val="000B638A"/>
    <w:rsid w:val="000B68E8"/>
    <w:rsid w:val="000B6923"/>
    <w:rsid w:val="000B7152"/>
    <w:rsid w:val="000B7488"/>
    <w:rsid w:val="000B7892"/>
    <w:rsid w:val="000C10B7"/>
    <w:rsid w:val="000C1252"/>
    <w:rsid w:val="000C19FC"/>
    <w:rsid w:val="000C1E5B"/>
    <w:rsid w:val="000C24FE"/>
    <w:rsid w:val="000C26BD"/>
    <w:rsid w:val="000C2BBD"/>
    <w:rsid w:val="000C2F74"/>
    <w:rsid w:val="000C37B3"/>
    <w:rsid w:val="000C42A9"/>
    <w:rsid w:val="000C4545"/>
    <w:rsid w:val="000C45A8"/>
    <w:rsid w:val="000C4E15"/>
    <w:rsid w:val="000C53A6"/>
    <w:rsid w:val="000C5734"/>
    <w:rsid w:val="000C5CD5"/>
    <w:rsid w:val="000C64C4"/>
    <w:rsid w:val="000C670A"/>
    <w:rsid w:val="000C6B99"/>
    <w:rsid w:val="000C7375"/>
    <w:rsid w:val="000C7993"/>
    <w:rsid w:val="000C7B1E"/>
    <w:rsid w:val="000D1521"/>
    <w:rsid w:val="000D15F0"/>
    <w:rsid w:val="000D164C"/>
    <w:rsid w:val="000D185E"/>
    <w:rsid w:val="000D1C5E"/>
    <w:rsid w:val="000D205E"/>
    <w:rsid w:val="000D22C5"/>
    <w:rsid w:val="000D2B8E"/>
    <w:rsid w:val="000D2D10"/>
    <w:rsid w:val="000D2E17"/>
    <w:rsid w:val="000D303F"/>
    <w:rsid w:val="000D32C8"/>
    <w:rsid w:val="000D36DB"/>
    <w:rsid w:val="000D3878"/>
    <w:rsid w:val="000D3BB5"/>
    <w:rsid w:val="000D4FF5"/>
    <w:rsid w:val="000D5723"/>
    <w:rsid w:val="000D5AAD"/>
    <w:rsid w:val="000D5AC1"/>
    <w:rsid w:val="000D6066"/>
    <w:rsid w:val="000D62CE"/>
    <w:rsid w:val="000D6BD8"/>
    <w:rsid w:val="000D6F70"/>
    <w:rsid w:val="000D7B62"/>
    <w:rsid w:val="000D7E6E"/>
    <w:rsid w:val="000E07C4"/>
    <w:rsid w:val="000E07D3"/>
    <w:rsid w:val="000E09A2"/>
    <w:rsid w:val="000E11F9"/>
    <w:rsid w:val="000E327A"/>
    <w:rsid w:val="000E3436"/>
    <w:rsid w:val="000E357A"/>
    <w:rsid w:val="000E3831"/>
    <w:rsid w:val="000E39AD"/>
    <w:rsid w:val="000E48D4"/>
    <w:rsid w:val="000E4AF3"/>
    <w:rsid w:val="000E59A8"/>
    <w:rsid w:val="000E6498"/>
    <w:rsid w:val="000E673A"/>
    <w:rsid w:val="000E6AB2"/>
    <w:rsid w:val="000E6BF8"/>
    <w:rsid w:val="000E6DF4"/>
    <w:rsid w:val="000E7614"/>
    <w:rsid w:val="000E7E70"/>
    <w:rsid w:val="000F05B1"/>
    <w:rsid w:val="000F06CD"/>
    <w:rsid w:val="000F0A23"/>
    <w:rsid w:val="000F0AD3"/>
    <w:rsid w:val="000F1285"/>
    <w:rsid w:val="000F1416"/>
    <w:rsid w:val="000F15D5"/>
    <w:rsid w:val="000F18FF"/>
    <w:rsid w:val="000F19CC"/>
    <w:rsid w:val="000F1E57"/>
    <w:rsid w:val="000F203A"/>
    <w:rsid w:val="000F319E"/>
    <w:rsid w:val="000F34C1"/>
    <w:rsid w:val="000F3F5C"/>
    <w:rsid w:val="000F4241"/>
    <w:rsid w:val="000F4552"/>
    <w:rsid w:val="000F45A7"/>
    <w:rsid w:val="000F4AE0"/>
    <w:rsid w:val="000F5C35"/>
    <w:rsid w:val="000F6368"/>
    <w:rsid w:val="000F63C7"/>
    <w:rsid w:val="000F66A3"/>
    <w:rsid w:val="000F7174"/>
    <w:rsid w:val="000F72E8"/>
    <w:rsid w:val="000F731F"/>
    <w:rsid w:val="000F7659"/>
    <w:rsid w:val="001003BA"/>
    <w:rsid w:val="001006BA"/>
    <w:rsid w:val="00100987"/>
    <w:rsid w:val="00100CB5"/>
    <w:rsid w:val="00102161"/>
    <w:rsid w:val="00102A57"/>
    <w:rsid w:val="00102C6B"/>
    <w:rsid w:val="00103457"/>
    <w:rsid w:val="00103700"/>
    <w:rsid w:val="00103821"/>
    <w:rsid w:val="00103940"/>
    <w:rsid w:val="00103B13"/>
    <w:rsid w:val="0010486C"/>
    <w:rsid w:val="00105197"/>
    <w:rsid w:val="00105215"/>
    <w:rsid w:val="001052E4"/>
    <w:rsid w:val="001053C2"/>
    <w:rsid w:val="001054CC"/>
    <w:rsid w:val="00105739"/>
    <w:rsid w:val="00105A07"/>
    <w:rsid w:val="00105AB4"/>
    <w:rsid w:val="00105C10"/>
    <w:rsid w:val="001071F2"/>
    <w:rsid w:val="0010731B"/>
    <w:rsid w:val="00107700"/>
    <w:rsid w:val="001079C9"/>
    <w:rsid w:val="00107B87"/>
    <w:rsid w:val="00110023"/>
    <w:rsid w:val="00110136"/>
    <w:rsid w:val="00110332"/>
    <w:rsid w:val="001109C1"/>
    <w:rsid w:val="00110A2B"/>
    <w:rsid w:val="00110A78"/>
    <w:rsid w:val="00110B34"/>
    <w:rsid w:val="00110C14"/>
    <w:rsid w:val="00110DAF"/>
    <w:rsid w:val="0011126B"/>
    <w:rsid w:val="0011169F"/>
    <w:rsid w:val="00111786"/>
    <w:rsid w:val="001121B2"/>
    <w:rsid w:val="0011277E"/>
    <w:rsid w:val="00112D4E"/>
    <w:rsid w:val="001133F7"/>
    <w:rsid w:val="0011366F"/>
    <w:rsid w:val="00113E9D"/>
    <w:rsid w:val="00113FCA"/>
    <w:rsid w:val="001146D6"/>
    <w:rsid w:val="00114D32"/>
    <w:rsid w:val="00114F44"/>
    <w:rsid w:val="00115833"/>
    <w:rsid w:val="0011589B"/>
    <w:rsid w:val="00115906"/>
    <w:rsid w:val="00115AD6"/>
    <w:rsid w:val="00115DB0"/>
    <w:rsid w:val="0011677C"/>
    <w:rsid w:val="00116DA5"/>
    <w:rsid w:val="00116F13"/>
    <w:rsid w:val="001171C0"/>
    <w:rsid w:val="0012029B"/>
    <w:rsid w:val="0012036A"/>
    <w:rsid w:val="00120837"/>
    <w:rsid w:val="00120D3A"/>
    <w:rsid w:val="00120F5D"/>
    <w:rsid w:val="00121098"/>
    <w:rsid w:val="0012114E"/>
    <w:rsid w:val="00121673"/>
    <w:rsid w:val="001216A1"/>
    <w:rsid w:val="001218ED"/>
    <w:rsid w:val="00121C0D"/>
    <w:rsid w:val="001227FC"/>
    <w:rsid w:val="00122D90"/>
    <w:rsid w:val="00123168"/>
    <w:rsid w:val="001232E8"/>
    <w:rsid w:val="00123750"/>
    <w:rsid w:val="00123DC8"/>
    <w:rsid w:val="0012447D"/>
    <w:rsid w:val="0012451D"/>
    <w:rsid w:val="001248AD"/>
    <w:rsid w:val="001249F4"/>
    <w:rsid w:val="00124D19"/>
    <w:rsid w:val="00124EFA"/>
    <w:rsid w:val="00124F57"/>
    <w:rsid w:val="001252A2"/>
    <w:rsid w:val="001252CA"/>
    <w:rsid w:val="00125949"/>
    <w:rsid w:val="00125980"/>
    <w:rsid w:val="00125C7B"/>
    <w:rsid w:val="001276BA"/>
    <w:rsid w:val="00127AAA"/>
    <w:rsid w:val="00127F5A"/>
    <w:rsid w:val="00127F94"/>
    <w:rsid w:val="001301A6"/>
    <w:rsid w:val="00130435"/>
    <w:rsid w:val="00130795"/>
    <w:rsid w:val="00130B5C"/>
    <w:rsid w:val="00130CDF"/>
    <w:rsid w:val="00131543"/>
    <w:rsid w:val="00132009"/>
    <w:rsid w:val="00132222"/>
    <w:rsid w:val="00133CC1"/>
    <w:rsid w:val="00133DC1"/>
    <w:rsid w:val="0013410A"/>
    <w:rsid w:val="00135289"/>
    <w:rsid w:val="0013528E"/>
    <w:rsid w:val="0013529B"/>
    <w:rsid w:val="0013540C"/>
    <w:rsid w:val="0013589F"/>
    <w:rsid w:val="001358F6"/>
    <w:rsid w:val="001363DF"/>
    <w:rsid w:val="00136907"/>
    <w:rsid w:val="00136B72"/>
    <w:rsid w:val="001370F6"/>
    <w:rsid w:val="0013786D"/>
    <w:rsid w:val="00137CC6"/>
    <w:rsid w:val="00137FAC"/>
    <w:rsid w:val="001405CD"/>
    <w:rsid w:val="00140E5E"/>
    <w:rsid w:val="00141B2B"/>
    <w:rsid w:val="00141F42"/>
    <w:rsid w:val="001423C6"/>
    <w:rsid w:val="001431DF"/>
    <w:rsid w:val="001434BB"/>
    <w:rsid w:val="00143CD0"/>
    <w:rsid w:val="00144340"/>
    <w:rsid w:val="00144983"/>
    <w:rsid w:val="00145278"/>
    <w:rsid w:val="001454DA"/>
    <w:rsid w:val="00145B87"/>
    <w:rsid w:val="00146436"/>
    <w:rsid w:val="001469FE"/>
    <w:rsid w:val="00147308"/>
    <w:rsid w:val="00147B0C"/>
    <w:rsid w:val="001503D3"/>
    <w:rsid w:val="00150F9E"/>
    <w:rsid w:val="00151343"/>
    <w:rsid w:val="00151CEF"/>
    <w:rsid w:val="00151FDE"/>
    <w:rsid w:val="0015222B"/>
    <w:rsid w:val="0015278F"/>
    <w:rsid w:val="00152A4E"/>
    <w:rsid w:val="00152B36"/>
    <w:rsid w:val="00152D38"/>
    <w:rsid w:val="00152E2B"/>
    <w:rsid w:val="0015333E"/>
    <w:rsid w:val="00153D98"/>
    <w:rsid w:val="001547FE"/>
    <w:rsid w:val="0015511D"/>
    <w:rsid w:val="00155553"/>
    <w:rsid w:val="001555A1"/>
    <w:rsid w:val="00155BA8"/>
    <w:rsid w:val="00156481"/>
    <w:rsid w:val="001565AF"/>
    <w:rsid w:val="00156CBB"/>
    <w:rsid w:val="00156E13"/>
    <w:rsid w:val="00157016"/>
    <w:rsid w:val="001573F6"/>
    <w:rsid w:val="00157413"/>
    <w:rsid w:val="00157896"/>
    <w:rsid w:val="00157ED1"/>
    <w:rsid w:val="001604CF"/>
    <w:rsid w:val="00160523"/>
    <w:rsid w:val="00160D10"/>
    <w:rsid w:val="00161F1F"/>
    <w:rsid w:val="001624AE"/>
    <w:rsid w:val="00162B32"/>
    <w:rsid w:val="001637DE"/>
    <w:rsid w:val="00163E22"/>
    <w:rsid w:val="00164072"/>
    <w:rsid w:val="001646A4"/>
    <w:rsid w:val="0016493F"/>
    <w:rsid w:val="00164BB5"/>
    <w:rsid w:val="001673D2"/>
    <w:rsid w:val="001673F2"/>
    <w:rsid w:val="00167691"/>
    <w:rsid w:val="001678F8"/>
    <w:rsid w:val="00167FD3"/>
    <w:rsid w:val="00170B7D"/>
    <w:rsid w:val="0017183E"/>
    <w:rsid w:val="00171BC5"/>
    <w:rsid w:val="00172271"/>
    <w:rsid w:val="00172486"/>
    <w:rsid w:val="0017385F"/>
    <w:rsid w:val="00173C0A"/>
    <w:rsid w:val="0017494A"/>
    <w:rsid w:val="00174ADC"/>
    <w:rsid w:val="00174BB2"/>
    <w:rsid w:val="00174DF1"/>
    <w:rsid w:val="00175150"/>
    <w:rsid w:val="00175382"/>
    <w:rsid w:val="0017561A"/>
    <w:rsid w:val="00175692"/>
    <w:rsid w:val="00175C70"/>
    <w:rsid w:val="00176418"/>
    <w:rsid w:val="00176854"/>
    <w:rsid w:val="00176A7C"/>
    <w:rsid w:val="00176B2E"/>
    <w:rsid w:val="00177BB9"/>
    <w:rsid w:val="001806EB"/>
    <w:rsid w:val="00180EB3"/>
    <w:rsid w:val="00180F66"/>
    <w:rsid w:val="0018112F"/>
    <w:rsid w:val="00181358"/>
    <w:rsid w:val="00181D40"/>
    <w:rsid w:val="00181F91"/>
    <w:rsid w:val="00181FC9"/>
    <w:rsid w:val="0018287C"/>
    <w:rsid w:val="00182CB1"/>
    <w:rsid w:val="00182F46"/>
    <w:rsid w:val="0018310D"/>
    <w:rsid w:val="001831B2"/>
    <w:rsid w:val="00183235"/>
    <w:rsid w:val="00183925"/>
    <w:rsid w:val="0018459F"/>
    <w:rsid w:val="001852CD"/>
    <w:rsid w:val="001857A5"/>
    <w:rsid w:val="0018608D"/>
    <w:rsid w:val="001863F2"/>
    <w:rsid w:val="001870E4"/>
    <w:rsid w:val="0018712A"/>
    <w:rsid w:val="00187674"/>
    <w:rsid w:val="00187741"/>
    <w:rsid w:val="00187D16"/>
    <w:rsid w:val="00190288"/>
    <w:rsid w:val="00190817"/>
    <w:rsid w:val="00190D14"/>
    <w:rsid w:val="00191C9E"/>
    <w:rsid w:val="00191E99"/>
    <w:rsid w:val="001920A6"/>
    <w:rsid w:val="00192A4F"/>
    <w:rsid w:val="00193018"/>
    <w:rsid w:val="00193366"/>
    <w:rsid w:val="00193685"/>
    <w:rsid w:val="0019374F"/>
    <w:rsid w:val="00193868"/>
    <w:rsid w:val="00193A9B"/>
    <w:rsid w:val="00194151"/>
    <w:rsid w:val="00194448"/>
    <w:rsid w:val="00194541"/>
    <w:rsid w:val="00194955"/>
    <w:rsid w:val="00194976"/>
    <w:rsid w:val="00194B49"/>
    <w:rsid w:val="0019505D"/>
    <w:rsid w:val="001951AE"/>
    <w:rsid w:val="0019529B"/>
    <w:rsid w:val="0019551E"/>
    <w:rsid w:val="001958C3"/>
    <w:rsid w:val="00195C9D"/>
    <w:rsid w:val="00195EA8"/>
    <w:rsid w:val="0019678F"/>
    <w:rsid w:val="0019699B"/>
    <w:rsid w:val="0019725D"/>
    <w:rsid w:val="00197C96"/>
    <w:rsid w:val="001A0013"/>
    <w:rsid w:val="001A0077"/>
    <w:rsid w:val="001A0338"/>
    <w:rsid w:val="001A0E22"/>
    <w:rsid w:val="001A1421"/>
    <w:rsid w:val="001A1644"/>
    <w:rsid w:val="001A19CB"/>
    <w:rsid w:val="001A1DFC"/>
    <w:rsid w:val="001A252B"/>
    <w:rsid w:val="001A3350"/>
    <w:rsid w:val="001A3667"/>
    <w:rsid w:val="001A37E8"/>
    <w:rsid w:val="001A3A0A"/>
    <w:rsid w:val="001A3C05"/>
    <w:rsid w:val="001A445F"/>
    <w:rsid w:val="001A4575"/>
    <w:rsid w:val="001A4A73"/>
    <w:rsid w:val="001A50B3"/>
    <w:rsid w:val="001A5211"/>
    <w:rsid w:val="001A5C8C"/>
    <w:rsid w:val="001A5D5E"/>
    <w:rsid w:val="001A610C"/>
    <w:rsid w:val="001A6D66"/>
    <w:rsid w:val="001A6DE0"/>
    <w:rsid w:val="001A7043"/>
    <w:rsid w:val="001A7180"/>
    <w:rsid w:val="001A73D4"/>
    <w:rsid w:val="001A75BF"/>
    <w:rsid w:val="001A7EB1"/>
    <w:rsid w:val="001A7F11"/>
    <w:rsid w:val="001B0266"/>
    <w:rsid w:val="001B0384"/>
    <w:rsid w:val="001B0756"/>
    <w:rsid w:val="001B0A85"/>
    <w:rsid w:val="001B0AC0"/>
    <w:rsid w:val="001B0E12"/>
    <w:rsid w:val="001B0E97"/>
    <w:rsid w:val="001B1F57"/>
    <w:rsid w:val="001B2069"/>
    <w:rsid w:val="001B2473"/>
    <w:rsid w:val="001B2704"/>
    <w:rsid w:val="001B2DA2"/>
    <w:rsid w:val="001B2E09"/>
    <w:rsid w:val="001B306D"/>
    <w:rsid w:val="001B384C"/>
    <w:rsid w:val="001B40DD"/>
    <w:rsid w:val="001B4947"/>
    <w:rsid w:val="001B4F68"/>
    <w:rsid w:val="001B509A"/>
    <w:rsid w:val="001B5F62"/>
    <w:rsid w:val="001B62E9"/>
    <w:rsid w:val="001B7064"/>
    <w:rsid w:val="001B7297"/>
    <w:rsid w:val="001B7616"/>
    <w:rsid w:val="001C018E"/>
    <w:rsid w:val="001C0484"/>
    <w:rsid w:val="001C0568"/>
    <w:rsid w:val="001C0BA6"/>
    <w:rsid w:val="001C1E87"/>
    <w:rsid w:val="001C208A"/>
    <w:rsid w:val="001C23C8"/>
    <w:rsid w:val="001C297C"/>
    <w:rsid w:val="001C2BF7"/>
    <w:rsid w:val="001C2C2C"/>
    <w:rsid w:val="001C2DF7"/>
    <w:rsid w:val="001C30C4"/>
    <w:rsid w:val="001C3AEC"/>
    <w:rsid w:val="001C3F07"/>
    <w:rsid w:val="001C4395"/>
    <w:rsid w:val="001C4B85"/>
    <w:rsid w:val="001C4C58"/>
    <w:rsid w:val="001C569D"/>
    <w:rsid w:val="001C595C"/>
    <w:rsid w:val="001C5B11"/>
    <w:rsid w:val="001C5B30"/>
    <w:rsid w:val="001C67FE"/>
    <w:rsid w:val="001C6C94"/>
    <w:rsid w:val="001C6F9E"/>
    <w:rsid w:val="001C7FF4"/>
    <w:rsid w:val="001D00B9"/>
    <w:rsid w:val="001D054C"/>
    <w:rsid w:val="001D07F6"/>
    <w:rsid w:val="001D09CA"/>
    <w:rsid w:val="001D0B98"/>
    <w:rsid w:val="001D0D0B"/>
    <w:rsid w:val="001D11E9"/>
    <w:rsid w:val="001D1ACC"/>
    <w:rsid w:val="001D1ED4"/>
    <w:rsid w:val="001D2101"/>
    <w:rsid w:val="001D29BC"/>
    <w:rsid w:val="001D2E2C"/>
    <w:rsid w:val="001D337D"/>
    <w:rsid w:val="001D3AF0"/>
    <w:rsid w:val="001D4DD5"/>
    <w:rsid w:val="001D5ABC"/>
    <w:rsid w:val="001D5C7B"/>
    <w:rsid w:val="001D5E5C"/>
    <w:rsid w:val="001D5F1B"/>
    <w:rsid w:val="001D6234"/>
    <w:rsid w:val="001D6853"/>
    <w:rsid w:val="001D6EED"/>
    <w:rsid w:val="001D700F"/>
    <w:rsid w:val="001D7222"/>
    <w:rsid w:val="001D7516"/>
    <w:rsid w:val="001E0746"/>
    <w:rsid w:val="001E0B6B"/>
    <w:rsid w:val="001E0BD0"/>
    <w:rsid w:val="001E12A5"/>
    <w:rsid w:val="001E15B6"/>
    <w:rsid w:val="001E15DF"/>
    <w:rsid w:val="001E17CD"/>
    <w:rsid w:val="001E1AF7"/>
    <w:rsid w:val="001E23F9"/>
    <w:rsid w:val="001E25A6"/>
    <w:rsid w:val="001E272A"/>
    <w:rsid w:val="001E3368"/>
    <w:rsid w:val="001E3470"/>
    <w:rsid w:val="001E3EBC"/>
    <w:rsid w:val="001E4337"/>
    <w:rsid w:val="001E441E"/>
    <w:rsid w:val="001E48F9"/>
    <w:rsid w:val="001E4E59"/>
    <w:rsid w:val="001E5434"/>
    <w:rsid w:val="001E5582"/>
    <w:rsid w:val="001E6190"/>
    <w:rsid w:val="001E6BA4"/>
    <w:rsid w:val="001E7458"/>
    <w:rsid w:val="001F0D31"/>
    <w:rsid w:val="001F12AC"/>
    <w:rsid w:val="001F136A"/>
    <w:rsid w:val="001F15B9"/>
    <w:rsid w:val="001F1DC8"/>
    <w:rsid w:val="001F2952"/>
    <w:rsid w:val="001F2E78"/>
    <w:rsid w:val="001F2F62"/>
    <w:rsid w:val="001F326D"/>
    <w:rsid w:val="001F3878"/>
    <w:rsid w:val="001F44EF"/>
    <w:rsid w:val="001F4647"/>
    <w:rsid w:val="001F499D"/>
    <w:rsid w:val="001F4A65"/>
    <w:rsid w:val="001F4A6D"/>
    <w:rsid w:val="001F53AE"/>
    <w:rsid w:val="001F59EA"/>
    <w:rsid w:val="001F626B"/>
    <w:rsid w:val="001F62B4"/>
    <w:rsid w:val="001F68B0"/>
    <w:rsid w:val="001F6981"/>
    <w:rsid w:val="001F6C8F"/>
    <w:rsid w:val="001F74B4"/>
    <w:rsid w:val="002000DF"/>
    <w:rsid w:val="00200354"/>
    <w:rsid w:val="00200868"/>
    <w:rsid w:val="00200D51"/>
    <w:rsid w:val="00201298"/>
    <w:rsid w:val="00201554"/>
    <w:rsid w:val="002021F6"/>
    <w:rsid w:val="0020349B"/>
    <w:rsid w:val="002034F9"/>
    <w:rsid w:val="002038A2"/>
    <w:rsid w:val="0020431F"/>
    <w:rsid w:val="002043AC"/>
    <w:rsid w:val="0020460A"/>
    <w:rsid w:val="00204688"/>
    <w:rsid w:val="00204987"/>
    <w:rsid w:val="00205B2E"/>
    <w:rsid w:val="00205C40"/>
    <w:rsid w:val="00205F80"/>
    <w:rsid w:val="002067CA"/>
    <w:rsid w:val="00207196"/>
    <w:rsid w:val="0020773E"/>
    <w:rsid w:val="00207846"/>
    <w:rsid w:val="00207919"/>
    <w:rsid w:val="002079F8"/>
    <w:rsid w:val="00207B13"/>
    <w:rsid w:val="00207FFB"/>
    <w:rsid w:val="002100FE"/>
    <w:rsid w:val="0021027C"/>
    <w:rsid w:val="002102B0"/>
    <w:rsid w:val="002104A2"/>
    <w:rsid w:val="0021076E"/>
    <w:rsid w:val="0021132E"/>
    <w:rsid w:val="0021150A"/>
    <w:rsid w:val="00211EB5"/>
    <w:rsid w:val="00212488"/>
    <w:rsid w:val="002128B2"/>
    <w:rsid w:val="00212989"/>
    <w:rsid w:val="00212AC5"/>
    <w:rsid w:val="00213871"/>
    <w:rsid w:val="002138CF"/>
    <w:rsid w:val="00213B4F"/>
    <w:rsid w:val="00213DAE"/>
    <w:rsid w:val="0021410B"/>
    <w:rsid w:val="0021416C"/>
    <w:rsid w:val="00214920"/>
    <w:rsid w:val="00215400"/>
    <w:rsid w:val="0021582B"/>
    <w:rsid w:val="00215A06"/>
    <w:rsid w:val="00215CE4"/>
    <w:rsid w:val="00215DF4"/>
    <w:rsid w:val="00217FF2"/>
    <w:rsid w:val="0022000E"/>
    <w:rsid w:val="002210C1"/>
    <w:rsid w:val="0022136B"/>
    <w:rsid w:val="00221870"/>
    <w:rsid w:val="002221C4"/>
    <w:rsid w:val="002227ED"/>
    <w:rsid w:val="00222DC2"/>
    <w:rsid w:val="00222E68"/>
    <w:rsid w:val="00223386"/>
    <w:rsid w:val="00223A1E"/>
    <w:rsid w:val="002245E5"/>
    <w:rsid w:val="002246B5"/>
    <w:rsid w:val="002248D7"/>
    <w:rsid w:val="0022517A"/>
    <w:rsid w:val="00225583"/>
    <w:rsid w:val="00226714"/>
    <w:rsid w:val="00226AAA"/>
    <w:rsid w:val="00226F69"/>
    <w:rsid w:val="00227297"/>
    <w:rsid w:val="0022735D"/>
    <w:rsid w:val="0022775F"/>
    <w:rsid w:val="00227907"/>
    <w:rsid w:val="0022791A"/>
    <w:rsid w:val="002302B8"/>
    <w:rsid w:val="0023033D"/>
    <w:rsid w:val="00230376"/>
    <w:rsid w:val="002305E1"/>
    <w:rsid w:val="00230C1D"/>
    <w:rsid w:val="00230F99"/>
    <w:rsid w:val="00231140"/>
    <w:rsid w:val="00231282"/>
    <w:rsid w:val="002312C7"/>
    <w:rsid w:val="00231F00"/>
    <w:rsid w:val="0023233B"/>
    <w:rsid w:val="0023351B"/>
    <w:rsid w:val="0023481F"/>
    <w:rsid w:val="00235089"/>
    <w:rsid w:val="002351AE"/>
    <w:rsid w:val="00235E90"/>
    <w:rsid w:val="0023622D"/>
    <w:rsid w:val="0023675B"/>
    <w:rsid w:val="00236F67"/>
    <w:rsid w:val="0023702B"/>
    <w:rsid w:val="00237BE1"/>
    <w:rsid w:val="00240112"/>
    <w:rsid w:val="002403D8"/>
    <w:rsid w:val="002408CB"/>
    <w:rsid w:val="002410CB"/>
    <w:rsid w:val="0024154B"/>
    <w:rsid w:val="00241EA0"/>
    <w:rsid w:val="00242558"/>
    <w:rsid w:val="0024376C"/>
    <w:rsid w:val="00243DF9"/>
    <w:rsid w:val="00244048"/>
    <w:rsid w:val="00244760"/>
    <w:rsid w:val="002448EA"/>
    <w:rsid w:val="00244910"/>
    <w:rsid w:val="00244922"/>
    <w:rsid w:val="00244B64"/>
    <w:rsid w:val="002450B8"/>
    <w:rsid w:val="0024538A"/>
    <w:rsid w:val="0024561E"/>
    <w:rsid w:val="00245B67"/>
    <w:rsid w:val="00245C58"/>
    <w:rsid w:val="00245E6A"/>
    <w:rsid w:val="0024684C"/>
    <w:rsid w:val="0024768D"/>
    <w:rsid w:val="00247893"/>
    <w:rsid w:val="00247F50"/>
    <w:rsid w:val="00247FC6"/>
    <w:rsid w:val="002505A5"/>
    <w:rsid w:val="00251EEA"/>
    <w:rsid w:val="0025225C"/>
    <w:rsid w:val="00252DB2"/>
    <w:rsid w:val="002531EB"/>
    <w:rsid w:val="00253B71"/>
    <w:rsid w:val="002540B8"/>
    <w:rsid w:val="00254243"/>
    <w:rsid w:val="00254915"/>
    <w:rsid w:val="002549FD"/>
    <w:rsid w:val="00254BD4"/>
    <w:rsid w:val="00254E2B"/>
    <w:rsid w:val="0025524A"/>
    <w:rsid w:val="002552CE"/>
    <w:rsid w:val="002553AD"/>
    <w:rsid w:val="002556BC"/>
    <w:rsid w:val="00255C02"/>
    <w:rsid w:val="002564C1"/>
    <w:rsid w:val="0025655F"/>
    <w:rsid w:val="0025671D"/>
    <w:rsid w:val="002571D6"/>
    <w:rsid w:val="002600E6"/>
    <w:rsid w:val="002603A2"/>
    <w:rsid w:val="00260BF2"/>
    <w:rsid w:val="00260C37"/>
    <w:rsid w:val="002615C6"/>
    <w:rsid w:val="002629D4"/>
    <w:rsid w:val="00262A05"/>
    <w:rsid w:val="00262CC4"/>
    <w:rsid w:val="00262FDF"/>
    <w:rsid w:val="00263029"/>
    <w:rsid w:val="0026353E"/>
    <w:rsid w:val="002636DE"/>
    <w:rsid w:val="00263750"/>
    <w:rsid w:val="00263B43"/>
    <w:rsid w:val="00263E4D"/>
    <w:rsid w:val="002640B4"/>
    <w:rsid w:val="0026454D"/>
    <w:rsid w:val="00264C18"/>
    <w:rsid w:val="00265077"/>
    <w:rsid w:val="002660FF"/>
    <w:rsid w:val="00266135"/>
    <w:rsid w:val="002665E1"/>
    <w:rsid w:val="002666A1"/>
    <w:rsid w:val="00267247"/>
    <w:rsid w:val="00267AC6"/>
    <w:rsid w:val="00267D0F"/>
    <w:rsid w:val="00270770"/>
    <w:rsid w:val="00270C07"/>
    <w:rsid w:val="00271032"/>
    <w:rsid w:val="00271120"/>
    <w:rsid w:val="00271DE0"/>
    <w:rsid w:val="00272A45"/>
    <w:rsid w:val="00272FF4"/>
    <w:rsid w:val="00273007"/>
    <w:rsid w:val="002732A8"/>
    <w:rsid w:val="002738DF"/>
    <w:rsid w:val="00274042"/>
    <w:rsid w:val="002743F5"/>
    <w:rsid w:val="00274B80"/>
    <w:rsid w:val="00274FBB"/>
    <w:rsid w:val="00275397"/>
    <w:rsid w:val="0027582D"/>
    <w:rsid w:val="002768BF"/>
    <w:rsid w:val="00276D83"/>
    <w:rsid w:val="00276DC2"/>
    <w:rsid w:val="00276F3D"/>
    <w:rsid w:val="0027775A"/>
    <w:rsid w:val="00277E75"/>
    <w:rsid w:val="00277F93"/>
    <w:rsid w:val="00280358"/>
    <w:rsid w:val="0028053E"/>
    <w:rsid w:val="002809C2"/>
    <w:rsid w:val="00281098"/>
    <w:rsid w:val="00281101"/>
    <w:rsid w:val="0028138D"/>
    <w:rsid w:val="0028143C"/>
    <w:rsid w:val="0028170B"/>
    <w:rsid w:val="00282013"/>
    <w:rsid w:val="0028204E"/>
    <w:rsid w:val="002822AC"/>
    <w:rsid w:val="00282514"/>
    <w:rsid w:val="00282AF8"/>
    <w:rsid w:val="00282EBC"/>
    <w:rsid w:val="0028305F"/>
    <w:rsid w:val="00283189"/>
    <w:rsid w:val="002834A3"/>
    <w:rsid w:val="002842E3"/>
    <w:rsid w:val="0028432D"/>
    <w:rsid w:val="002849DA"/>
    <w:rsid w:val="002853B7"/>
    <w:rsid w:val="00285947"/>
    <w:rsid w:val="00287718"/>
    <w:rsid w:val="002905D4"/>
    <w:rsid w:val="00291313"/>
    <w:rsid w:val="002918BD"/>
    <w:rsid w:val="00291CBA"/>
    <w:rsid w:val="00292B85"/>
    <w:rsid w:val="00292D29"/>
    <w:rsid w:val="00292E18"/>
    <w:rsid w:val="00293104"/>
    <w:rsid w:val="002937FC"/>
    <w:rsid w:val="00294D26"/>
    <w:rsid w:val="00295EBA"/>
    <w:rsid w:val="00296024"/>
    <w:rsid w:val="002972AA"/>
    <w:rsid w:val="00297B91"/>
    <w:rsid w:val="00297BE1"/>
    <w:rsid w:val="002A0224"/>
    <w:rsid w:val="002A0695"/>
    <w:rsid w:val="002A074E"/>
    <w:rsid w:val="002A0763"/>
    <w:rsid w:val="002A0B01"/>
    <w:rsid w:val="002A0EC4"/>
    <w:rsid w:val="002A1746"/>
    <w:rsid w:val="002A193E"/>
    <w:rsid w:val="002A21AF"/>
    <w:rsid w:val="002A2659"/>
    <w:rsid w:val="002A27B5"/>
    <w:rsid w:val="002A2E75"/>
    <w:rsid w:val="002A2FB6"/>
    <w:rsid w:val="002A3126"/>
    <w:rsid w:val="002A530E"/>
    <w:rsid w:val="002A5911"/>
    <w:rsid w:val="002A5FD7"/>
    <w:rsid w:val="002A6456"/>
    <w:rsid w:val="002A6701"/>
    <w:rsid w:val="002A7270"/>
    <w:rsid w:val="002A74AD"/>
    <w:rsid w:val="002A770C"/>
    <w:rsid w:val="002A7ABD"/>
    <w:rsid w:val="002A7F0B"/>
    <w:rsid w:val="002A7F7E"/>
    <w:rsid w:val="002B0487"/>
    <w:rsid w:val="002B07CA"/>
    <w:rsid w:val="002B0F5E"/>
    <w:rsid w:val="002B1C0F"/>
    <w:rsid w:val="002B1C75"/>
    <w:rsid w:val="002B2022"/>
    <w:rsid w:val="002B2883"/>
    <w:rsid w:val="002B303E"/>
    <w:rsid w:val="002B43E6"/>
    <w:rsid w:val="002B462A"/>
    <w:rsid w:val="002B48D9"/>
    <w:rsid w:val="002B4E5A"/>
    <w:rsid w:val="002B5621"/>
    <w:rsid w:val="002B5631"/>
    <w:rsid w:val="002B641C"/>
    <w:rsid w:val="002B6814"/>
    <w:rsid w:val="002B6FCA"/>
    <w:rsid w:val="002B75A5"/>
    <w:rsid w:val="002B7CB5"/>
    <w:rsid w:val="002C0380"/>
    <w:rsid w:val="002C0677"/>
    <w:rsid w:val="002C1357"/>
    <w:rsid w:val="002C1A56"/>
    <w:rsid w:val="002C1CF6"/>
    <w:rsid w:val="002C222E"/>
    <w:rsid w:val="002C2353"/>
    <w:rsid w:val="002C24E6"/>
    <w:rsid w:val="002C2995"/>
    <w:rsid w:val="002C2B73"/>
    <w:rsid w:val="002C2BFD"/>
    <w:rsid w:val="002C49C3"/>
    <w:rsid w:val="002C4E1D"/>
    <w:rsid w:val="002C6231"/>
    <w:rsid w:val="002C6337"/>
    <w:rsid w:val="002C662C"/>
    <w:rsid w:val="002C6CC4"/>
    <w:rsid w:val="002C6CF9"/>
    <w:rsid w:val="002C6FDE"/>
    <w:rsid w:val="002C7CAD"/>
    <w:rsid w:val="002C7D31"/>
    <w:rsid w:val="002D0937"/>
    <w:rsid w:val="002D0C21"/>
    <w:rsid w:val="002D0F32"/>
    <w:rsid w:val="002D113D"/>
    <w:rsid w:val="002D1317"/>
    <w:rsid w:val="002D1AAC"/>
    <w:rsid w:val="002D1C14"/>
    <w:rsid w:val="002D1FE0"/>
    <w:rsid w:val="002D2153"/>
    <w:rsid w:val="002D33B9"/>
    <w:rsid w:val="002D3446"/>
    <w:rsid w:val="002D3951"/>
    <w:rsid w:val="002D3EA0"/>
    <w:rsid w:val="002D46FA"/>
    <w:rsid w:val="002D4797"/>
    <w:rsid w:val="002D4C9B"/>
    <w:rsid w:val="002D4EB6"/>
    <w:rsid w:val="002D5355"/>
    <w:rsid w:val="002D546F"/>
    <w:rsid w:val="002D5A65"/>
    <w:rsid w:val="002D6099"/>
    <w:rsid w:val="002D6A3F"/>
    <w:rsid w:val="002D6B96"/>
    <w:rsid w:val="002D7945"/>
    <w:rsid w:val="002D7A82"/>
    <w:rsid w:val="002D7CA1"/>
    <w:rsid w:val="002E00EB"/>
    <w:rsid w:val="002E0964"/>
    <w:rsid w:val="002E0ABA"/>
    <w:rsid w:val="002E0D56"/>
    <w:rsid w:val="002E1696"/>
    <w:rsid w:val="002E1A76"/>
    <w:rsid w:val="002E1EC7"/>
    <w:rsid w:val="002E1F4A"/>
    <w:rsid w:val="002E2BC5"/>
    <w:rsid w:val="002E3301"/>
    <w:rsid w:val="002E3493"/>
    <w:rsid w:val="002E3CEE"/>
    <w:rsid w:val="002E3D4E"/>
    <w:rsid w:val="002E4009"/>
    <w:rsid w:val="002E41A3"/>
    <w:rsid w:val="002E5148"/>
    <w:rsid w:val="002E5D3D"/>
    <w:rsid w:val="002E5F31"/>
    <w:rsid w:val="002E6262"/>
    <w:rsid w:val="002E7005"/>
    <w:rsid w:val="002E7BA8"/>
    <w:rsid w:val="002E7F13"/>
    <w:rsid w:val="002F0405"/>
    <w:rsid w:val="002F0503"/>
    <w:rsid w:val="002F098A"/>
    <w:rsid w:val="002F1587"/>
    <w:rsid w:val="002F167D"/>
    <w:rsid w:val="002F28DB"/>
    <w:rsid w:val="002F2E56"/>
    <w:rsid w:val="002F359B"/>
    <w:rsid w:val="002F42FA"/>
    <w:rsid w:val="002F4376"/>
    <w:rsid w:val="002F44DF"/>
    <w:rsid w:val="002F4521"/>
    <w:rsid w:val="002F46D2"/>
    <w:rsid w:val="002F476B"/>
    <w:rsid w:val="002F4B5C"/>
    <w:rsid w:val="002F57C0"/>
    <w:rsid w:val="002F5832"/>
    <w:rsid w:val="002F5D30"/>
    <w:rsid w:val="002F5EF5"/>
    <w:rsid w:val="002F623E"/>
    <w:rsid w:val="002F6659"/>
    <w:rsid w:val="002F70E3"/>
    <w:rsid w:val="002F7417"/>
    <w:rsid w:val="002F74D4"/>
    <w:rsid w:val="002F759E"/>
    <w:rsid w:val="002F76F0"/>
    <w:rsid w:val="002F79D0"/>
    <w:rsid w:val="002F7ED7"/>
    <w:rsid w:val="003002DB"/>
    <w:rsid w:val="00300A2F"/>
    <w:rsid w:val="00300A7C"/>
    <w:rsid w:val="00300B38"/>
    <w:rsid w:val="00300EEB"/>
    <w:rsid w:val="00300F0F"/>
    <w:rsid w:val="0030134A"/>
    <w:rsid w:val="003016E4"/>
    <w:rsid w:val="0030173F"/>
    <w:rsid w:val="00301E49"/>
    <w:rsid w:val="003029AD"/>
    <w:rsid w:val="00302A21"/>
    <w:rsid w:val="00302B34"/>
    <w:rsid w:val="00302B6D"/>
    <w:rsid w:val="00303508"/>
    <w:rsid w:val="00303C54"/>
    <w:rsid w:val="003042AC"/>
    <w:rsid w:val="00304635"/>
    <w:rsid w:val="003047E2"/>
    <w:rsid w:val="00304F5C"/>
    <w:rsid w:val="00304FCA"/>
    <w:rsid w:val="00305840"/>
    <w:rsid w:val="00305DEF"/>
    <w:rsid w:val="00305ECE"/>
    <w:rsid w:val="00306050"/>
    <w:rsid w:val="00307012"/>
    <w:rsid w:val="00307277"/>
    <w:rsid w:val="003076A0"/>
    <w:rsid w:val="00307FF5"/>
    <w:rsid w:val="003100B3"/>
    <w:rsid w:val="003105C8"/>
    <w:rsid w:val="00310EE0"/>
    <w:rsid w:val="003110F6"/>
    <w:rsid w:val="00311DA7"/>
    <w:rsid w:val="003127D7"/>
    <w:rsid w:val="00312C98"/>
    <w:rsid w:val="00312E07"/>
    <w:rsid w:val="003134D7"/>
    <w:rsid w:val="00313565"/>
    <w:rsid w:val="003136E5"/>
    <w:rsid w:val="00314765"/>
    <w:rsid w:val="0031483C"/>
    <w:rsid w:val="00315769"/>
    <w:rsid w:val="00315984"/>
    <w:rsid w:val="00315B2F"/>
    <w:rsid w:val="00316358"/>
    <w:rsid w:val="003163BF"/>
    <w:rsid w:val="003169BC"/>
    <w:rsid w:val="00316A83"/>
    <w:rsid w:val="00316B90"/>
    <w:rsid w:val="00316F9B"/>
    <w:rsid w:val="003172C2"/>
    <w:rsid w:val="00317937"/>
    <w:rsid w:val="00317E45"/>
    <w:rsid w:val="003204C3"/>
    <w:rsid w:val="0032051C"/>
    <w:rsid w:val="00320D23"/>
    <w:rsid w:val="00321735"/>
    <w:rsid w:val="00321880"/>
    <w:rsid w:val="003218D8"/>
    <w:rsid w:val="003221DE"/>
    <w:rsid w:val="0032267F"/>
    <w:rsid w:val="00322872"/>
    <w:rsid w:val="003228EF"/>
    <w:rsid w:val="00322B49"/>
    <w:rsid w:val="00322D63"/>
    <w:rsid w:val="00323000"/>
    <w:rsid w:val="0032324A"/>
    <w:rsid w:val="003233A5"/>
    <w:rsid w:val="00323659"/>
    <w:rsid w:val="00323A70"/>
    <w:rsid w:val="00323B49"/>
    <w:rsid w:val="00323F35"/>
    <w:rsid w:val="003243B1"/>
    <w:rsid w:val="00326478"/>
    <w:rsid w:val="00326494"/>
    <w:rsid w:val="003267DD"/>
    <w:rsid w:val="00326CB8"/>
    <w:rsid w:val="003271FD"/>
    <w:rsid w:val="00327551"/>
    <w:rsid w:val="0032760B"/>
    <w:rsid w:val="0032785C"/>
    <w:rsid w:val="00327F16"/>
    <w:rsid w:val="00330D7A"/>
    <w:rsid w:val="00331026"/>
    <w:rsid w:val="0033129D"/>
    <w:rsid w:val="00331301"/>
    <w:rsid w:val="0033166C"/>
    <w:rsid w:val="00331CDF"/>
    <w:rsid w:val="00331D37"/>
    <w:rsid w:val="00332AB4"/>
    <w:rsid w:val="003333C1"/>
    <w:rsid w:val="003334B8"/>
    <w:rsid w:val="0033359B"/>
    <w:rsid w:val="00333C4B"/>
    <w:rsid w:val="00334276"/>
    <w:rsid w:val="003345C9"/>
    <w:rsid w:val="003347EE"/>
    <w:rsid w:val="00334B06"/>
    <w:rsid w:val="00334BAA"/>
    <w:rsid w:val="00334C4A"/>
    <w:rsid w:val="003350B5"/>
    <w:rsid w:val="003350ED"/>
    <w:rsid w:val="0033511D"/>
    <w:rsid w:val="00335159"/>
    <w:rsid w:val="0033574D"/>
    <w:rsid w:val="0033594C"/>
    <w:rsid w:val="003359C0"/>
    <w:rsid w:val="00335C73"/>
    <w:rsid w:val="00335FE5"/>
    <w:rsid w:val="003364C1"/>
    <w:rsid w:val="003371FF"/>
    <w:rsid w:val="00337218"/>
    <w:rsid w:val="003376F7"/>
    <w:rsid w:val="00337F19"/>
    <w:rsid w:val="00340146"/>
    <w:rsid w:val="00340626"/>
    <w:rsid w:val="00340682"/>
    <w:rsid w:val="003406CA"/>
    <w:rsid w:val="00340990"/>
    <w:rsid w:val="00341346"/>
    <w:rsid w:val="00341507"/>
    <w:rsid w:val="00342675"/>
    <w:rsid w:val="00342799"/>
    <w:rsid w:val="003438A1"/>
    <w:rsid w:val="00343AAC"/>
    <w:rsid w:val="00344172"/>
    <w:rsid w:val="00344675"/>
    <w:rsid w:val="0034489C"/>
    <w:rsid w:val="00344C04"/>
    <w:rsid w:val="003452B3"/>
    <w:rsid w:val="00345604"/>
    <w:rsid w:val="00345988"/>
    <w:rsid w:val="00346516"/>
    <w:rsid w:val="003465D7"/>
    <w:rsid w:val="003467E0"/>
    <w:rsid w:val="00346EB3"/>
    <w:rsid w:val="00347577"/>
    <w:rsid w:val="003505C1"/>
    <w:rsid w:val="003508BB"/>
    <w:rsid w:val="00350BD4"/>
    <w:rsid w:val="00351197"/>
    <w:rsid w:val="00351333"/>
    <w:rsid w:val="0035133B"/>
    <w:rsid w:val="0035183D"/>
    <w:rsid w:val="00351B60"/>
    <w:rsid w:val="00351FDC"/>
    <w:rsid w:val="00352320"/>
    <w:rsid w:val="00352610"/>
    <w:rsid w:val="00352B91"/>
    <w:rsid w:val="00352CE1"/>
    <w:rsid w:val="003530F8"/>
    <w:rsid w:val="0035370C"/>
    <w:rsid w:val="00353E6B"/>
    <w:rsid w:val="0035411B"/>
    <w:rsid w:val="00354CF3"/>
    <w:rsid w:val="003559FC"/>
    <w:rsid w:val="003560A7"/>
    <w:rsid w:val="003566C0"/>
    <w:rsid w:val="00356A52"/>
    <w:rsid w:val="0035726D"/>
    <w:rsid w:val="0035743B"/>
    <w:rsid w:val="003575DE"/>
    <w:rsid w:val="00357A28"/>
    <w:rsid w:val="00357BB9"/>
    <w:rsid w:val="00357F80"/>
    <w:rsid w:val="00360432"/>
    <w:rsid w:val="003605C3"/>
    <w:rsid w:val="00360F8E"/>
    <w:rsid w:val="003610A9"/>
    <w:rsid w:val="003611C8"/>
    <w:rsid w:val="00361257"/>
    <w:rsid w:val="003616AB"/>
    <w:rsid w:val="00361F07"/>
    <w:rsid w:val="00362348"/>
    <w:rsid w:val="00362642"/>
    <w:rsid w:val="00362E90"/>
    <w:rsid w:val="0036357C"/>
    <w:rsid w:val="00364164"/>
    <w:rsid w:val="00364360"/>
    <w:rsid w:val="00364712"/>
    <w:rsid w:val="0036526F"/>
    <w:rsid w:val="00365935"/>
    <w:rsid w:val="00365BC4"/>
    <w:rsid w:val="00365C39"/>
    <w:rsid w:val="00367593"/>
    <w:rsid w:val="0036787D"/>
    <w:rsid w:val="003703E7"/>
    <w:rsid w:val="0037063B"/>
    <w:rsid w:val="00370EE6"/>
    <w:rsid w:val="003711CB"/>
    <w:rsid w:val="00371F63"/>
    <w:rsid w:val="003726DF"/>
    <w:rsid w:val="0037284C"/>
    <w:rsid w:val="0037365C"/>
    <w:rsid w:val="00373858"/>
    <w:rsid w:val="00373A08"/>
    <w:rsid w:val="00373D21"/>
    <w:rsid w:val="00374110"/>
    <w:rsid w:val="00374237"/>
    <w:rsid w:val="00374E92"/>
    <w:rsid w:val="00374F54"/>
    <w:rsid w:val="0037504C"/>
    <w:rsid w:val="00375557"/>
    <w:rsid w:val="00375866"/>
    <w:rsid w:val="00375B52"/>
    <w:rsid w:val="00375CAC"/>
    <w:rsid w:val="00376235"/>
    <w:rsid w:val="003765B3"/>
    <w:rsid w:val="00376974"/>
    <w:rsid w:val="00377109"/>
    <w:rsid w:val="00377495"/>
    <w:rsid w:val="0037761F"/>
    <w:rsid w:val="00380013"/>
    <w:rsid w:val="00380385"/>
    <w:rsid w:val="00380699"/>
    <w:rsid w:val="003807C5"/>
    <w:rsid w:val="00380B5F"/>
    <w:rsid w:val="00380C24"/>
    <w:rsid w:val="003815F4"/>
    <w:rsid w:val="00381782"/>
    <w:rsid w:val="00382A50"/>
    <w:rsid w:val="00382E49"/>
    <w:rsid w:val="00383095"/>
    <w:rsid w:val="00383576"/>
    <w:rsid w:val="00383967"/>
    <w:rsid w:val="00383AED"/>
    <w:rsid w:val="00383D26"/>
    <w:rsid w:val="00384114"/>
    <w:rsid w:val="003848CA"/>
    <w:rsid w:val="003848EA"/>
    <w:rsid w:val="00384F37"/>
    <w:rsid w:val="003850BF"/>
    <w:rsid w:val="0038564A"/>
    <w:rsid w:val="00385C5B"/>
    <w:rsid w:val="00386E7C"/>
    <w:rsid w:val="00386EC5"/>
    <w:rsid w:val="003872E2"/>
    <w:rsid w:val="00387512"/>
    <w:rsid w:val="00387EFD"/>
    <w:rsid w:val="00390488"/>
    <w:rsid w:val="00390491"/>
    <w:rsid w:val="00390A79"/>
    <w:rsid w:val="00390D2E"/>
    <w:rsid w:val="00390E3B"/>
    <w:rsid w:val="0039108D"/>
    <w:rsid w:val="00391B56"/>
    <w:rsid w:val="00391B9B"/>
    <w:rsid w:val="003926DC"/>
    <w:rsid w:val="00392E85"/>
    <w:rsid w:val="00393197"/>
    <w:rsid w:val="003936A5"/>
    <w:rsid w:val="00393A5D"/>
    <w:rsid w:val="00393CC8"/>
    <w:rsid w:val="003941AD"/>
    <w:rsid w:val="003943E3"/>
    <w:rsid w:val="003951B3"/>
    <w:rsid w:val="00395217"/>
    <w:rsid w:val="00395935"/>
    <w:rsid w:val="00395D6D"/>
    <w:rsid w:val="00396626"/>
    <w:rsid w:val="00396DD6"/>
    <w:rsid w:val="00397284"/>
    <w:rsid w:val="00397A38"/>
    <w:rsid w:val="003A062E"/>
    <w:rsid w:val="003A064E"/>
    <w:rsid w:val="003A0705"/>
    <w:rsid w:val="003A154B"/>
    <w:rsid w:val="003A2441"/>
    <w:rsid w:val="003A2467"/>
    <w:rsid w:val="003A2679"/>
    <w:rsid w:val="003A26A0"/>
    <w:rsid w:val="003A327F"/>
    <w:rsid w:val="003A36FA"/>
    <w:rsid w:val="003A3757"/>
    <w:rsid w:val="003A377E"/>
    <w:rsid w:val="003A4625"/>
    <w:rsid w:val="003A48AE"/>
    <w:rsid w:val="003A4A4D"/>
    <w:rsid w:val="003A4C5A"/>
    <w:rsid w:val="003A51E3"/>
    <w:rsid w:val="003A618E"/>
    <w:rsid w:val="003A61CC"/>
    <w:rsid w:val="003A67CA"/>
    <w:rsid w:val="003A7FC8"/>
    <w:rsid w:val="003B09A1"/>
    <w:rsid w:val="003B115A"/>
    <w:rsid w:val="003B1423"/>
    <w:rsid w:val="003B1CE4"/>
    <w:rsid w:val="003B206A"/>
    <w:rsid w:val="003B28F4"/>
    <w:rsid w:val="003B2AEC"/>
    <w:rsid w:val="003B2CBD"/>
    <w:rsid w:val="003B2D06"/>
    <w:rsid w:val="003B2DD7"/>
    <w:rsid w:val="003B32BE"/>
    <w:rsid w:val="003B3931"/>
    <w:rsid w:val="003B48A6"/>
    <w:rsid w:val="003B4A13"/>
    <w:rsid w:val="003B4A82"/>
    <w:rsid w:val="003B52B8"/>
    <w:rsid w:val="003B556B"/>
    <w:rsid w:val="003B5B22"/>
    <w:rsid w:val="003B5E0A"/>
    <w:rsid w:val="003B6341"/>
    <w:rsid w:val="003B650A"/>
    <w:rsid w:val="003B6B5A"/>
    <w:rsid w:val="003B6BAE"/>
    <w:rsid w:val="003B7006"/>
    <w:rsid w:val="003B768C"/>
    <w:rsid w:val="003C058C"/>
    <w:rsid w:val="003C0D87"/>
    <w:rsid w:val="003C0E2E"/>
    <w:rsid w:val="003C101C"/>
    <w:rsid w:val="003C116B"/>
    <w:rsid w:val="003C167F"/>
    <w:rsid w:val="003C17EF"/>
    <w:rsid w:val="003C1998"/>
    <w:rsid w:val="003C19C7"/>
    <w:rsid w:val="003C1CCC"/>
    <w:rsid w:val="003C2369"/>
    <w:rsid w:val="003C2413"/>
    <w:rsid w:val="003C259A"/>
    <w:rsid w:val="003C2B30"/>
    <w:rsid w:val="003C3CAF"/>
    <w:rsid w:val="003C408A"/>
    <w:rsid w:val="003C418E"/>
    <w:rsid w:val="003C4421"/>
    <w:rsid w:val="003C46A4"/>
    <w:rsid w:val="003C493E"/>
    <w:rsid w:val="003C499B"/>
    <w:rsid w:val="003C5588"/>
    <w:rsid w:val="003C6317"/>
    <w:rsid w:val="003C640E"/>
    <w:rsid w:val="003C660C"/>
    <w:rsid w:val="003C6BA0"/>
    <w:rsid w:val="003C7265"/>
    <w:rsid w:val="003C7271"/>
    <w:rsid w:val="003C7573"/>
    <w:rsid w:val="003D051F"/>
    <w:rsid w:val="003D0624"/>
    <w:rsid w:val="003D098B"/>
    <w:rsid w:val="003D0E8F"/>
    <w:rsid w:val="003D0FFF"/>
    <w:rsid w:val="003D153E"/>
    <w:rsid w:val="003D182E"/>
    <w:rsid w:val="003D19D6"/>
    <w:rsid w:val="003D24D5"/>
    <w:rsid w:val="003D2BA3"/>
    <w:rsid w:val="003D3089"/>
    <w:rsid w:val="003D36F4"/>
    <w:rsid w:val="003D3807"/>
    <w:rsid w:val="003D3EA9"/>
    <w:rsid w:val="003D4BEB"/>
    <w:rsid w:val="003D51F1"/>
    <w:rsid w:val="003D5865"/>
    <w:rsid w:val="003D5F36"/>
    <w:rsid w:val="003D639A"/>
    <w:rsid w:val="003D68E9"/>
    <w:rsid w:val="003D6BD6"/>
    <w:rsid w:val="003D6D76"/>
    <w:rsid w:val="003D7D57"/>
    <w:rsid w:val="003D7E27"/>
    <w:rsid w:val="003E07F9"/>
    <w:rsid w:val="003E0FC4"/>
    <w:rsid w:val="003E12BC"/>
    <w:rsid w:val="003E1663"/>
    <w:rsid w:val="003E23AF"/>
    <w:rsid w:val="003E31AC"/>
    <w:rsid w:val="003E3913"/>
    <w:rsid w:val="003E3C54"/>
    <w:rsid w:val="003E417D"/>
    <w:rsid w:val="003E4247"/>
    <w:rsid w:val="003E475B"/>
    <w:rsid w:val="003E4BDF"/>
    <w:rsid w:val="003E4C4C"/>
    <w:rsid w:val="003E4F21"/>
    <w:rsid w:val="003E51AB"/>
    <w:rsid w:val="003E531C"/>
    <w:rsid w:val="003E58F0"/>
    <w:rsid w:val="003E629E"/>
    <w:rsid w:val="003E6A96"/>
    <w:rsid w:val="003E75EB"/>
    <w:rsid w:val="003E7732"/>
    <w:rsid w:val="003E79F0"/>
    <w:rsid w:val="003E7A29"/>
    <w:rsid w:val="003E7A56"/>
    <w:rsid w:val="003E7A68"/>
    <w:rsid w:val="003E7C49"/>
    <w:rsid w:val="003F0AEC"/>
    <w:rsid w:val="003F0B03"/>
    <w:rsid w:val="003F1F55"/>
    <w:rsid w:val="003F21DC"/>
    <w:rsid w:val="003F22A6"/>
    <w:rsid w:val="003F24A7"/>
    <w:rsid w:val="003F252E"/>
    <w:rsid w:val="003F25C1"/>
    <w:rsid w:val="003F2CA8"/>
    <w:rsid w:val="003F321C"/>
    <w:rsid w:val="003F3A91"/>
    <w:rsid w:val="003F3AFE"/>
    <w:rsid w:val="003F45A9"/>
    <w:rsid w:val="003F4813"/>
    <w:rsid w:val="003F4A69"/>
    <w:rsid w:val="003F4CAE"/>
    <w:rsid w:val="003F5713"/>
    <w:rsid w:val="003F5CAA"/>
    <w:rsid w:val="003F5E1D"/>
    <w:rsid w:val="003F5EBE"/>
    <w:rsid w:val="003F6212"/>
    <w:rsid w:val="003F625C"/>
    <w:rsid w:val="003F6320"/>
    <w:rsid w:val="003F6955"/>
    <w:rsid w:val="003F72E3"/>
    <w:rsid w:val="003F7325"/>
    <w:rsid w:val="003F7381"/>
    <w:rsid w:val="003F7923"/>
    <w:rsid w:val="003F7A79"/>
    <w:rsid w:val="003F7EF6"/>
    <w:rsid w:val="0040028D"/>
    <w:rsid w:val="00400901"/>
    <w:rsid w:val="00400B82"/>
    <w:rsid w:val="00400C88"/>
    <w:rsid w:val="00400F21"/>
    <w:rsid w:val="00400F4F"/>
    <w:rsid w:val="00401706"/>
    <w:rsid w:val="004019B9"/>
    <w:rsid w:val="00401E8A"/>
    <w:rsid w:val="0040221E"/>
    <w:rsid w:val="00402A95"/>
    <w:rsid w:val="00402FC6"/>
    <w:rsid w:val="004031E1"/>
    <w:rsid w:val="004031F3"/>
    <w:rsid w:val="004034C2"/>
    <w:rsid w:val="0040376A"/>
    <w:rsid w:val="00403A88"/>
    <w:rsid w:val="00404A7A"/>
    <w:rsid w:val="00404A93"/>
    <w:rsid w:val="00404D2B"/>
    <w:rsid w:val="00404FD5"/>
    <w:rsid w:val="004054CB"/>
    <w:rsid w:val="004060C1"/>
    <w:rsid w:val="004069A2"/>
    <w:rsid w:val="004070ED"/>
    <w:rsid w:val="00407839"/>
    <w:rsid w:val="00407B12"/>
    <w:rsid w:val="00407C10"/>
    <w:rsid w:val="00407DD0"/>
    <w:rsid w:val="00410509"/>
    <w:rsid w:val="00412208"/>
    <w:rsid w:val="00412BF1"/>
    <w:rsid w:val="004132D1"/>
    <w:rsid w:val="004132E9"/>
    <w:rsid w:val="004135E9"/>
    <w:rsid w:val="004136DA"/>
    <w:rsid w:val="00413ED6"/>
    <w:rsid w:val="0041510B"/>
    <w:rsid w:val="004153A9"/>
    <w:rsid w:val="004154F6"/>
    <w:rsid w:val="004159F6"/>
    <w:rsid w:val="00416331"/>
    <w:rsid w:val="004166F7"/>
    <w:rsid w:val="00417687"/>
    <w:rsid w:val="00417DBE"/>
    <w:rsid w:val="004214B6"/>
    <w:rsid w:val="004219B5"/>
    <w:rsid w:val="004224EC"/>
    <w:rsid w:val="00422982"/>
    <w:rsid w:val="00422C09"/>
    <w:rsid w:val="004241E4"/>
    <w:rsid w:val="00424636"/>
    <w:rsid w:val="004246DF"/>
    <w:rsid w:val="00424AC4"/>
    <w:rsid w:val="00424CB4"/>
    <w:rsid w:val="00424FEF"/>
    <w:rsid w:val="00425630"/>
    <w:rsid w:val="004256DE"/>
    <w:rsid w:val="00426212"/>
    <w:rsid w:val="0042679D"/>
    <w:rsid w:val="00426A97"/>
    <w:rsid w:val="00426C80"/>
    <w:rsid w:val="00426DCA"/>
    <w:rsid w:val="00427505"/>
    <w:rsid w:val="00430229"/>
    <w:rsid w:val="004314B5"/>
    <w:rsid w:val="004314C6"/>
    <w:rsid w:val="00431D12"/>
    <w:rsid w:val="00431DE0"/>
    <w:rsid w:val="00431E9C"/>
    <w:rsid w:val="004322B1"/>
    <w:rsid w:val="004322C8"/>
    <w:rsid w:val="00432538"/>
    <w:rsid w:val="0043260F"/>
    <w:rsid w:val="00432A96"/>
    <w:rsid w:val="004334A6"/>
    <w:rsid w:val="00433817"/>
    <w:rsid w:val="00433F75"/>
    <w:rsid w:val="00434109"/>
    <w:rsid w:val="00434530"/>
    <w:rsid w:val="00434F7E"/>
    <w:rsid w:val="00435220"/>
    <w:rsid w:val="0043561A"/>
    <w:rsid w:val="00435DED"/>
    <w:rsid w:val="00436528"/>
    <w:rsid w:val="00437A9E"/>
    <w:rsid w:val="00437E17"/>
    <w:rsid w:val="004412BB"/>
    <w:rsid w:val="00441539"/>
    <w:rsid w:val="0044203C"/>
    <w:rsid w:val="00442307"/>
    <w:rsid w:val="00442879"/>
    <w:rsid w:val="00442A80"/>
    <w:rsid w:val="004431D2"/>
    <w:rsid w:val="00443B2F"/>
    <w:rsid w:val="00444138"/>
    <w:rsid w:val="0044494D"/>
    <w:rsid w:val="004451C8"/>
    <w:rsid w:val="004455EB"/>
    <w:rsid w:val="004456B7"/>
    <w:rsid w:val="00445885"/>
    <w:rsid w:val="00445B6E"/>
    <w:rsid w:val="00445BDC"/>
    <w:rsid w:val="00445ED3"/>
    <w:rsid w:val="0044615E"/>
    <w:rsid w:val="00446201"/>
    <w:rsid w:val="00446E54"/>
    <w:rsid w:val="00447E3E"/>
    <w:rsid w:val="004513E7"/>
    <w:rsid w:val="0045160C"/>
    <w:rsid w:val="00451F40"/>
    <w:rsid w:val="004523BF"/>
    <w:rsid w:val="00452522"/>
    <w:rsid w:val="00452637"/>
    <w:rsid w:val="00452E7E"/>
    <w:rsid w:val="00453390"/>
    <w:rsid w:val="00453BBF"/>
    <w:rsid w:val="00453C9E"/>
    <w:rsid w:val="00453CA9"/>
    <w:rsid w:val="00453E1D"/>
    <w:rsid w:val="00453ECD"/>
    <w:rsid w:val="004549D9"/>
    <w:rsid w:val="00454A03"/>
    <w:rsid w:val="00455A38"/>
    <w:rsid w:val="00455FAC"/>
    <w:rsid w:val="00457024"/>
    <w:rsid w:val="00457439"/>
    <w:rsid w:val="00457553"/>
    <w:rsid w:val="00457891"/>
    <w:rsid w:val="00457B77"/>
    <w:rsid w:val="004602AA"/>
    <w:rsid w:val="00460621"/>
    <w:rsid w:val="004606A2"/>
    <w:rsid w:val="0046094C"/>
    <w:rsid w:val="004609BD"/>
    <w:rsid w:val="00460BA4"/>
    <w:rsid w:val="00460E1C"/>
    <w:rsid w:val="00461226"/>
    <w:rsid w:val="004614A3"/>
    <w:rsid w:val="0046274C"/>
    <w:rsid w:val="00463A1D"/>
    <w:rsid w:val="00463D5F"/>
    <w:rsid w:val="00464C8F"/>
    <w:rsid w:val="004652E6"/>
    <w:rsid w:val="0046538D"/>
    <w:rsid w:val="004653BC"/>
    <w:rsid w:val="00465DF8"/>
    <w:rsid w:val="004665A9"/>
    <w:rsid w:val="004669A6"/>
    <w:rsid w:val="00466AE5"/>
    <w:rsid w:val="00466BD5"/>
    <w:rsid w:val="0047046F"/>
    <w:rsid w:val="004704C4"/>
    <w:rsid w:val="00471075"/>
    <w:rsid w:val="0047118B"/>
    <w:rsid w:val="00471A99"/>
    <w:rsid w:val="0047214E"/>
    <w:rsid w:val="0047231A"/>
    <w:rsid w:val="004729CA"/>
    <w:rsid w:val="00472E7D"/>
    <w:rsid w:val="00473276"/>
    <w:rsid w:val="004735E8"/>
    <w:rsid w:val="00473B02"/>
    <w:rsid w:val="00473B11"/>
    <w:rsid w:val="00473DAB"/>
    <w:rsid w:val="00473F04"/>
    <w:rsid w:val="00474425"/>
    <w:rsid w:val="00474542"/>
    <w:rsid w:val="004754E7"/>
    <w:rsid w:val="0047616C"/>
    <w:rsid w:val="0047690B"/>
    <w:rsid w:val="00476DD2"/>
    <w:rsid w:val="004773DD"/>
    <w:rsid w:val="0047743B"/>
    <w:rsid w:val="00477C0A"/>
    <w:rsid w:val="004801D1"/>
    <w:rsid w:val="00480500"/>
    <w:rsid w:val="004819B9"/>
    <w:rsid w:val="00481B3F"/>
    <w:rsid w:val="00481B92"/>
    <w:rsid w:val="00482072"/>
    <w:rsid w:val="004826B4"/>
    <w:rsid w:val="00482D65"/>
    <w:rsid w:val="00483F87"/>
    <w:rsid w:val="00484004"/>
    <w:rsid w:val="00484744"/>
    <w:rsid w:val="0048498A"/>
    <w:rsid w:val="00484D0E"/>
    <w:rsid w:val="004855A6"/>
    <w:rsid w:val="004855CD"/>
    <w:rsid w:val="004856EB"/>
    <w:rsid w:val="00485B98"/>
    <w:rsid w:val="00486216"/>
    <w:rsid w:val="004869A2"/>
    <w:rsid w:val="00486D39"/>
    <w:rsid w:val="004871B8"/>
    <w:rsid w:val="004876B1"/>
    <w:rsid w:val="00487A86"/>
    <w:rsid w:val="00487B55"/>
    <w:rsid w:val="00487F5E"/>
    <w:rsid w:val="004901E1"/>
    <w:rsid w:val="00490370"/>
    <w:rsid w:val="004904E0"/>
    <w:rsid w:val="004911BE"/>
    <w:rsid w:val="00491319"/>
    <w:rsid w:val="00491523"/>
    <w:rsid w:val="00491F1C"/>
    <w:rsid w:val="00492471"/>
    <w:rsid w:val="004926A3"/>
    <w:rsid w:val="0049287D"/>
    <w:rsid w:val="00492A0A"/>
    <w:rsid w:val="00492D2B"/>
    <w:rsid w:val="00492DC8"/>
    <w:rsid w:val="00493312"/>
    <w:rsid w:val="004933AB"/>
    <w:rsid w:val="004952A2"/>
    <w:rsid w:val="0049580F"/>
    <w:rsid w:val="00495ECF"/>
    <w:rsid w:val="00495F16"/>
    <w:rsid w:val="00495F50"/>
    <w:rsid w:val="00495F9D"/>
    <w:rsid w:val="0049619C"/>
    <w:rsid w:val="00496264"/>
    <w:rsid w:val="004962DF"/>
    <w:rsid w:val="00496308"/>
    <w:rsid w:val="00496352"/>
    <w:rsid w:val="00497AA8"/>
    <w:rsid w:val="004A046B"/>
    <w:rsid w:val="004A0638"/>
    <w:rsid w:val="004A0CCE"/>
    <w:rsid w:val="004A0E2F"/>
    <w:rsid w:val="004A0FAC"/>
    <w:rsid w:val="004A1086"/>
    <w:rsid w:val="004A10F2"/>
    <w:rsid w:val="004A12F3"/>
    <w:rsid w:val="004A1606"/>
    <w:rsid w:val="004A1660"/>
    <w:rsid w:val="004A1CF9"/>
    <w:rsid w:val="004A1EB3"/>
    <w:rsid w:val="004A256D"/>
    <w:rsid w:val="004A258E"/>
    <w:rsid w:val="004A2E6F"/>
    <w:rsid w:val="004A3366"/>
    <w:rsid w:val="004A4208"/>
    <w:rsid w:val="004A426D"/>
    <w:rsid w:val="004A428A"/>
    <w:rsid w:val="004A4987"/>
    <w:rsid w:val="004A4C4F"/>
    <w:rsid w:val="004A53B3"/>
    <w:rsid w:val="004A5E13"/>
    <w:rsid w:val="004A6392"/>
    <w:rsid w:val="004A64A4"/>
    <w:rsid w:val="004A65E7"/>
    <w:rsid w:val="004A6775"/>
    <w:rsid w:val="004A6F6F"/>
    <w:rsid w:val="004A70E8"/>
    <w:rsid w:val="004A793D"/>
    <w:rsid w:val="004A79ED"/>
    <w:rsid w:val="004A7D31"/>
    <w:rsid w:val="004A7DEF"/>
    <w:rsid w:val="004A7EB7"/>
    <w:rsid w:val="004B0F7E"/>
    <w:rsid w:val="004B15A0"/>
    <w:rsid w:val="004B15AE"/>
    <w:rsid w:val="004B206D"/>
    <w:rsid w:val="004B2209"/>
    <w:rsid w:val="004B22F1"/>
    <w:rsid w:val="004B24C2"/>
    <w:rsid w:val="004B25C7"/>
    <w:rsid w:val="004B291E"/>
    <w:rsid w:val="004B2AB7"/>
    <w:rsid w:val="004B2C4C"/>
    <w:rsid w:val="004B3E7C"/>
    <w:rsid w:val="004B457F"/>
    <w:rsid w:val="004B543E"/>
    <w:rsid w:val="004B59E7"/>
    <w:rsid w:val="004B61C1"/>
    <w:rsid w:val="004B6203"/>
    <w:rsid w:val="004B671B"/>
    <w:rsid w:val="004B687C"/>
    <w:rsid w:val="004B6DD5"/>
    <w:rsid w:val="004B6EC2"/>
    <w:rsid w:val="004B6FEB"/>
    <w:rsid w:val="004B727E"/>
    <w:rsid w:val="004B76BD"/>
    <w:rsid w:val="004B7730"/>
    <w:rsid w:val="004C0005"/>
    <w:rsid w:val="004C0139"/>
    <w:rsid w:val="004C01CD"/>
    <w:rsid w:val="004C0385"/>
    <w:rsid w:val="004C0E15"/>
    <w:rsid w:val="004C0F2C"/>
    <w:rsid w:val="004C1405"/>
    <w:rsid w:val="004C17F6"/>
    <w:rsid w:val="004C1C1A"/>
    <w:rsid w:val="004C1F0F"/>
    <w:rsid w:val="004C24EF"/>
    <w:rsid w:val="004C35C9"/>
    <w:rsid w:val="004C3903"/>
    <w:rsid w:val="004C402E"/>
    <w:rsid w:val="004C4572"/>
    <w:rsid w:val="004C4A5C"/>
    <w:rsid w:val="004C5709"/>
    <w:rsid w:val="004C5F05"/>
    <w:rsid w:val="004C6A53"/>
    <w:rsid w:val="004C6B5E"/>
    <w:rsid w:val="004C6CEB"/>
    <w:rsid w:val="004C6F3F"/>
    <w:rsid w:val="004C732C"/>
    <w:rsid w:val="004C74AC"/>
    <w:rsid w:val="004C7504"/>
    <w:rsid w:val="004C7E5F"/>
    <w:rsid w:val="004C7F99"/>
    <w:rsid w:val="004D0F15"/>
    <w:rsid w:val="004D102C"/>
    <w:rsid w:val="004D122D"/>
    <w:rsid w:val="004D143C"/>
    <w:rsid w:val="004D178E"/>
    <w:rsid w:val="004D1B8A"/>
    <w:rsid w:val="004D2D27"/>
    <w:rsid w:val="004D312A"/>
    <w:rsid w:val="004D395D"/>
    <w:rsid w:val="004D3BED"/>
    <w:rsid w:val="004D3DAD"/>
    <w:rsid w:val="004D40E8"/>
    <w:rsid w:val="004D42B3"/>
    <w:rsid w:val="004D4D96"/>
    <w:rsid w:val="004D5F78"/>
    <w:rsid w:val="004D6558"/>
    <w:rsid w:val="004D6E36"/>
    <w:rsid w:val="004D73C3"/>
    <w:rsid w:val="004D774F"/>
    <w:rsid w:val="004D78F9"/>
    <w:rsid w:val="004D7C9A"/>
    <w:rsid w:val="004E0907"/>
    <w:rsid w:val="004E16D2"/>
    <w:rsid w:val="004E24E8"/>
    <w:rsid w:val="004E2762"/>
    <w:rsid w:val="004E2C6D"/>
    <w:rsid w:val="004E2E60"/>
    <w:rsid w:val="004E32B8"/>
    <w:rsid w:val="004E42A0"/>
    <w:rsid w:val="004E43B6"/>
    <w:rsid w:val="004E49EA"/>
    <w:rsid w:val="004E53D3"/>
    <w:rsid w:val="004E5F0E"/>
    <w:rsid w:val="004E61F9"/>
    <w:rsid w:val="004E6C5E"/>
    <w:rsid w:val="004E6C80"/>
    <w:rsid w:val="004E7551"/>
    <w:rsid w:val="004E7C33"/>
    <w:rsid w:val="004E7D8F"/>
    <w:rsid w:val="004F00E3"/>
    <w:rsid w:val="004F01C6"/>
    <w:rsid w:val="004F01F3"/>
    <w:rsid w:val="004F046C"/>
    <w:rsid w:val="004F06EE"/>
    <w:rsid w:val="004F0DF9"/>
    <w:rsid w:val="004F1523"/>
    <w:rsid w:val="004F1833"/>
    <w:rsid w:val="004F2A03"/>
    <w:rsid w:val="004F2D52"/>
    <w:rsid w:val="004F2E99"/>
    <w:rsid w:val="004F31D2"/>
    <w:rsid w:val="004F329A"/>
    <w:rsid w:val="004F382F"/>
    <w:rsid w:val="004F3A61"/>
    <w:rsid w:val="004F41B6"/>
    <w:rsid w:val="004F4874"/>
    <w:rsid w:val="004F4CE2"/>
    <w:rsid w:val="004F4D66"/>
    <w:rsid w:val="004F4D83"/>
    <w:rsid w:val="004F5063"/>
    <w:rsid w:val="004F5363"/>
    <w:rsid w:val="004F5A97"/>
    <w:rsid w:val="004F5F8A"/>
    <w:rsid w:val="004F645E"/>
    <w:rsid w:val="004F701E"/>
    <w:rsid w:val="004F74F2"/>
    <w:rsid w:val="004F7510"/>
    <w:rsid w:val="00500574"/>
    <w:rsid w:val="00500610"/>
    <w:rsid w:val="00500D3D"/>
    <w:rsid w:val="00501810"/>
    <w:rsid w:val="0050193F"/>
    <w:rsid w:val="00501AE1"/>
    <w:rsid w:val="00501D7E"/>
    <w:rsid w:val="00502265"/>
    <w:rsid w:val="005023D1"/>
    <w:rsid w:val="00502694"/>
    <w:rsid w:val="005027AF"/>
    <w:rsid w:val="00502DF0"/>
    <w:rsid w:val="005032CB"/>
    <w:rsid w:val="005036BD"/>
    <w:rsid w:val="00503CB6"/>
    <w:rsid w:val="00504001"/>
    <w:rsid w:val="00504189"/>
    <w:rsid w:val="0050458E"/>
    <w:rsid w:val="0050473D"/>
    <w:rsid w:val="00504FFB"/>
    <w:rsid w:val="00505BDD"/>
    <w:rsid w:val="00505C6F"/>
    <w:rsid w:val="0050625D"/>
    <w:rsid w:val="00506554"/>
    <w:rsid w:val="00507150"/>
    <w:rsid w:val="005076BD"/>
    <w:rsid w:val="005077C2"/>
    <w:rsid w:val="00507FBB"/>
    <w:rsid w:val="00510291"/>
    <w:rsid w:val="00510CE5"/>
    <w:rsid w:val="00511038"/>
    <w:rsid w:val="005110EA"/>
    <w:rsid w:val="00511168"/>
    <w:rsid w:val="0051117B"/>
    <w:rsid w:val="00511384"/>
    <w:rsid w:val="00511E6B"/>
    <w:rsid w:val="00512647"/>
    <w:rsid w:val="005127B2"/>
    <w:rsid w:val="005127EF"/>
    <w:rsid w:val="0051289B"/>
    <w:rsid w:val="00512B2D"/>
    <w:rsid w:val="005146C9"/>
    <w:rsid w:val="00514F71"/>
    <w:rsid w:val="005150E5"/>
    <w:rsid w:val="00515347"/>
    <w:rsid w:val="00515C6E"/>
    <w:rsid w:val="00516029"/>
    <w:rsid w:val="00516544"/>
    <w:rsid w:val="0051677C"/>
    <w:rsid w:val="005175F0"/>
    <w:rsid w:val="00517999"/>
    <w:rsid w:val="005203D8"/>
    <w:rsid w:val="00520D6F"/>
    <w:rsid w:val="00520E7E"/>
    <w:rsid w:val="0052227A"/>
    <w:rsid w:val="0052286B"/>
    <w:rsid w:val="00522F5E"/>
    <w:rsid w:val="005230E7"/>
    <w:rsid w:val="00523EF8"/>
    <w:rsid w:val="00524116"/>
    <w:rsid w:val="0052465E"/>
    <w:rsid w:val="00524FDB"/>
    <w:rsid w:val="00525AB4"/>
    <w:rsid w:val="005263A6"/>
    <w:rsid w:val="00526A50"/>
    <w:rsid w:val="00526C8D"/>
    <w:rsid w:val="00527139"/>
    <w:rsid w:val="005276FA"/>
    <w:rsid w:val="005279B1"/>
    <w:rsid w:val="00527C40"/>
    <w:rsid w:val="005300B5"/>
    <w:rsid w:val="00530442"/>
    <w:rsid w:val="00530C8E"/>
    <w:rsid w:val="0053137D"/>
    <w:rsid w:val="0053142A"/>
    <w:rsid w:val="00531C34"/>
    <w:rsid w:val="00531D04"/>
    <w:rsid w:val="00531DFD"/>
    <w:rsid w:val="005327C3"/>
    <w:rsid w:val="00532D77"/>
    <w:rsid w:val="005336EA"/>
    <w:rsid w:val="00533AC6"/>
    <w:rsid w:val="005340D6"/>
    <w:rsid w:val="00534B7A"/>
    <w:rsid w:val="00534F55"/>
    <w:rsid w:val="00534FD3"/>
    <w:rsid w:val="005350F7"/>
    <w:rsid w:val="00535176"/>
    <w:rsid w:val="00535211"/>
    <w:rsid w:val="00535A56"/>
    <w:rsid w:val="00535F5A"/>
    <w:rsid w:val="0053638A"/>
    <w:rsid w:val="005363B0"/>
    <w:rsid w:val="00536C18"/>
    <w:rsid w:val="00537D30"/>
    <w:rsid w:val="00540687"/>
    <w:rsid w:val="00540915"/>
    <w:rsid w:val="00540ADF"/>
    <w:rsid w:val="00541559"/>
    <w:rsid w:val="005418CF"/>
    <w:rsid w:val="00541F71"/>
    <w:rsid w:val="00541FCA"/>
    <w:rsid w:val="00542044"/>
    <w:rsid w:val="00542D6A"/>
    <w:rsid w:val="005435A2"/>
    <w:rsid w:val="0054382C"/>
    <w:rsid w:val="005439D0"/>
    <w:rsid w:val="005443E3"/>
    <w:rsid w:val="005446C2"/>
    <w:rsid w:val="00544E62"/>
    <w:rsid w:val="00544E67"/>
    <w:rsid w:val="0054515E"/>
    <w:rsid w:val="00545B1C"/>
    <w:rsid w:val="00546392"/>
    <w:rsid w:val="0054648A"/>
    <w:rsid w:val="0054729A"/>
    <w:rsid w:val="00547DC5"/>
    <w:rsid w:val="00547F0F"/>
    <w:rsid w:val="00550639"/>
    <w:rsid w:val="00550A9E"/>
    <w:rsid w:val="00550ECE"/>
    <w:rsid w:val="00551269"/>
    <w:rsid w:val="00551458"/>
    <w:rsid w:val="00551954"/>
    <w:rsid w:val="00551BA3"/>
    <w:rsid w:val="00552059"/>
    <w:rsid w:val="00552881"/>
    <w:rsid w:val="00552F1E"/>
    <w:rsid w:val="00553494"/>
    <w:rsid w:val="005536A4"/>
    <w:rsid w:val="005536B6"/>
    <w:rsid w:val="005539F9"/>
    <w:rsid w:val="00553B39"/>
    <w:rsid w:val="0055410C"/>
    <w:rsid w:val="005545FE"/>
    <w:rsid w:val="005549C7"/>
    <w:rsid w:val="00555CE6"/>
    <w:rsid w:val="00555EAB"/>
    <w:rsid w:val="0055661A"/>
    <w:rsid w:val="005571D5"/>
    <w:rsid w:val="00557B60"/>
    <w:rsid w:val="0056040B"/>
    <w:rsid w:val="00560ABE"/>
    <w:rsid w:val="00560B89"/>
    <w:rsid w:val="00560B8D"/>
    <w:rsid w:val="00561342"/>
    <w:rsid w:val="005617E1"/>
    <w:rsid w:val="00562211"/>
    <w:rsid w:val="00562271"/>
    <w:rsid w:val="005630D3"/>
    <w:rsid w:val="005630D7"/>
    <w:rsid w:val="00563420"/>
    <w:rsid w:val="005635A9"/>
    <w:rsid w:val="005642FC"/>
    <w:rsid w:val="00564710"/>
    <w:rsid w:val="00564996"/>
    <w:rsid w:val="00564C11"/>
    <w:rsid w:val="00564E6B"/>
    <w:rsid w:val="0056501B"/>
    <w:rsid w:val="00565766"/>
    <w:rsid w:val="00565D1F"/>
    <w:rsid w:val="00565E86"/>
    <w:rsid w:val="005663B7"/>
    <w:rsid w:val="0056646F"/>
    <w:rsid w:val="005664D4"/>
    <w:rsid w:val="00566ABA"/>
    <w:rsid w:val="00566F57"/>
    <w:rsid w:val="00567138"/>
    <w:rsid w:val="005671A0"/>
    <w:rsid w:val="005672A9"/>
    <w:rsid w:val="005673C1"/>
    <w:rsid w:val="00567C09"/>
    <w:rsid w:val="005701E7"/>
    <w:rsid w:val="005714CD"/>
    <w:rsid w:val="00571E61"/>
    <w:rsid w:val="00571E6C"/>
    <w:rsid w:val="0057258E"/>
    <w:rsid w:val="00572913"/>
    <w:rsid w:val="0057303B"/>
    <w:rsid w:val="0057405D"/>
    <w:rsid w:val="0057459A"/>
    <w:rsid w:val="00575124"/>
    <w:rsid w:val="00575270"/>
    <w:rsid w:val="0057555F"/>
    <w:rsid w:val="005774CB"/>
    <w:rsid w:val="005778DB"/>
    <w:rsid w:val="00577AEC"/>
    <w:rsid w:val="00577BAA"/>
    <w:rsid w:val="00577F07"/>
    <w:rsid w:val="005803F5"/>
    <w:rsid w:val="00580453"/>
    <w:rsid w:val="00580743"/>
    <w:rsid w:val="00580A4B"/>
    <w:rsid w:val="00580FD3"/>
    <w:rsid w:val="00581A35"/>
    <w:rsid w:val="00581F5C"/>
    <w:rsid w:val="00582008"/>
    <w:rsid w:val="005825CE"/>
    <w:rsid w:val="00582BDC"/>
    <w:rsid w:val="00584F2B"/>
    <w:rsid w:val="00585047"/>
    <w:rsid w:val="0058526B"/>
    <w:rsid w:val="005859C8"/>
    <w:rsid w:val="0058620D"/>
    <w:rsid w:val="00586210"/>
    <w:rsid w:val="0058663A"/>
    <w:rsid w:val="00586E5E"/>
    <w:rsid w:val="00586E76"/>
    <w:rsid w:val="00586FE9"/>
    <w:rsid w:val="005873B3"/>
    <w:rsid w:val="0058742F"/>
    <w:rsid w:val="005874D9"/>
    <w:rsid w:val="00587770"/>
    <w:rsid w:val="005902BB"/>
    <w:rsid w:val="00590974"/>
    <w:rsid w:val="00591261"/>
    <w:rsid w:val="0059143B"/>
    <w:rsid w:val="00591581"/>
    <w:rsid w:val="00591F5F"/>
    <w:rsid w:val="00592182"/>
    <w:rsid w:val="00592B2B"/>
    <w:rsid w:val="00592E4D"/>
    <w:rsid w:val="005930F0"/>
    <w:rsid w:val="005933E6"/>
    <w:rsid w:val="0059371D"/>
    <w:rsid w:val="00593823"/>
    <w:rsid w:val="00593C62"/>
    <w:rsid w:val="00593E9C"/>
    <w:rsid w:val="00594909"/>
    <w:rsid w:val="00594A47"/>
    <w:rsid w:val="005952C7"/>
    <w:rsid w:val="00595348"/>
    <w:rsid w:val="005953E4"/>
    <w:rsid w:val="0059569F"/>
    <w:rsid w:val="00596083"/>
    <w:rsid w:val="0059669E"/>
    <w:rsid w:val="00596BED"/>
    <w:rsid w:val="005970BC"/>
    <w:rsid w:val="00597954"/>
    <w:rsid w:val="005A0579"/>
    <w:rsid w:val="005A0752"/>
    <w:rsid w:val="005A205C"/>
    <w:rsid w:val="005A2544"/>
    <w:rsid w:val="005A2678"/>
    <w:rsid w:val="005A3639"/>
    <w:rsid w:val="005A3AAF"/>
    <w:rsid w:val="005A4352"/>
    <w:rsid w:val="005A4622"/>
    <w:rsid w:val="005A4F83"/>
    <w:rsid w:val="005A4FA0"/>
    <w:rsid w:val="005A5097"/>
    <w:rsid w:val="005A537A"/>
    <w:rsid w:val="005A5DCD"/>
    <w:rsid w:val="005A6758"/>
    <w:rsid w:val="005A6759"/>
    <w:rsid w:val="005A67CC"/>
    <w:rsid w:val="005A67D9"/>
    <w:rsid w:val="005A6D6A"/>
    <w:rsid w:val="005A6FA3"/>
    <w:rsid w:val="005A78E9"/>
    <w:rsid w:val="005A7E06"/>
    <w:rsid w:val="005A7E60"/>
    <w:rsid w:val="005A7F75"/>
    <w:rsid w:val="005B06B5"/>
    <w:rsid w:val="005B0866"/>
    <w:rsid w:val="005B0E8E"/>
    <w:rsid w:val="005B12EB"/>
    <w:rsid w:val="005B1920"/>
    <w:rsid w:val="005B1E53"/>
    <w:rsid w:val="005B2042"/>
    <w:rsid w:val="005B22F4"/>
    <w:rsid w:val="005B3075"/>
    <w:rsid w:val="005B3765"/>
    <w:rsid w:val="005B3785"/>
    <w:rsid w:val="005B3A7B"/>
    <w:rsid w:val="005B422A"/>
    <w:rsid w:val="005B4A2C"/>
    <w:rsid w:val="005B4C9A"/>
    <w:rsid w:val="005B4CCF"/>
    <w:rsid w:val="005B4EAB"/>
    <w:rsid w:val="005B55F3"/>
    <w:rsid w:val="005B5664"/>
    <w:rsid w:val="005B5A01"/>
    <w:rsid w:val="005B6018"/>
    <w:rsid w:val="005B60EA"/>
    <w:rsid w:val="005B66F7"/>
    <w:rsid w:val="005B754A"/>
    <w:rsid w:val="005B7846"/>
    <w:rsid w:val="005B79C9"/>
    <w:rsid w:val="005B7D04"/>
    <w:rsid w:val="005B7FC9"/>
    <w:rsid w:val="005C00F2"/>
    <w:rsid w:val="005C023B"/>
    <w:rsid w:val="005C0509"/>
    <w:rsid w:val="005C066D"/>
    <w:rsid w:val="005C066E"/>
    <w:rsid w:val="005C06B1"/>
    <w:rsid w:val="005C0FE1"/>
    <w:rsid w:val="005C1223"/>
    <w:rsid w:val="005C166B"/>
    <w:rsid w:val="005C1AAC"/>
    <w:rsid w:val="005C23BF"/>
    <w:rsid w:val="005C2439"/>
    <w:rsid w:val="005C266A"/>
    <w:rsid w:val="005C2BCB"/>
    <w:rsid w:val="005C2CD5"/>
    <w:rsid w:val="005C2D04"/>
    <w:rsid w:val="005C3215"/>
    <w:rsid w:val="005C336E"/>
    <w:rsid w:val="005C342A"/>
    <w:rsid w:val="005C358F"/>
    <w:rsid w:val="005C35C5"/>
    <w:rsid w:val="005C36ED"/>
    <w:rsid w:val="005C4019"/>
    <w:rsid w:val="005C492F"/>
    <w:rsid w:val="005C4FFB"/>
    <w:rsid w:val="005C5795"/>
    <w:rsid w:val="005C5A1A"/>
    <w:rsid w:val="005C63D8"/>
    <w:rsid w:val="005C66D4"/>
    <w:rsid w:val="005C690A"/>
    <w:rsid w:val="005C7237"/>
    <w:rsid w:val="005C768F"/>
    <w:rsid w:val="005D0069"/>
    <w:rsid w:val="005D02D1"/>
    <w:rsid w:val="005D03B3"/>
    <w:rsid w:val="005D0D69"/>
    <w:rsid w:val="005D1C7E"/>
    <w:rsid w:val="005D1C9D"/>
    <w:rsid w:val="005D229A"/>
    <w:rsid w:val="005D23CC"/>
    <w:rsid w:val="005D2F31"/>
    <w:rsid w:val="005D313A"/>
    <w:rsid w:val="005D354D"/>
    <w:rsid w:val="005D36A4"/>
    <w:rsid w:val="005D3774"/>
    <w:rsid w:val="005D39E0"/>
    <w:rsid w:val="005D3E72"/>
    <w:rsid w:val="005D449C"/>
    <w:rsid w:val="005D47C8"/>
    <w:rsid w:val="005D4E1B"/>
    <w:rsid w:val="005D55F0"/>
    <w:rsid w:val="005D57B0"/>
    <w:rsid w:val="005D621F"/>
    <w:rsid w:val="005D71A1"/>
    <w:rsid w:val="005D766C"/>
    <w:rsid w:val="005D7B95"/>
    <w:rsid w:val="005E06F4"/>
    <w:rsid w:val="005E1032"/>
    <w:rsid w:val="005E2E48"/>
    <w:rsid w:val="005E327A"/>
    <w:rsid w:val="005E36E7"/>
    <w:rsid w:val="005E3B12"/>
    <w:rsid w:val="005E3BBB"/>
    <w:rsid w:val="005E3E7E"/>
    <w:rsid w:val="005E3F48"/>
    <w:rsid w:val="005E4F00"/>
    <w:rsid w:val="005E5072"/>
    <w:rsid w:val="005E51A5"/>
    <w:rsid w:val="005E5A73"/>
    <w:rsid w:val="005E6D61"/>
    <w:rsid w:val="005E6E6A"/>
    <w:rsid w:val="005E7055"/>
    <w:rsid w:val="005E721A"/>
    <w:rsid w:val="005E791F"/>
    <w:rsid w:val="005E7943"/>
    <w:rsid w:val="005E7AF3"/>
    <w:rsid w:val="005E7F1B"/>
    <w:rsid w:val="005F0907"/>
    <w:rsid w:val="005F1139"/>
    <w:rsid w:val="005F1616"/>
    <w:rsid w:val="005F168B"/>
    <w:rsid w:val="005F1A61"/>
    <w:rsid w:val="005F1B32"/>
    <w:rsid w:val="005F1D9F"/>
    <w:rsid w:val="005F28A0"/>
    <w:rsid w:val="005F299E"/>
    <w:rsid w:val="005F33E9"/>
    <w:rsid w:val="005F3ACA"/>
    <w:rsid w:val="005F3B16"/>
    <w:rsid w:val="005F3C4F"/>
    <w:rsid w:val="005F4290"/>
    <w:rsid w:val="005F4840"/>
    <w:rsid w:val="005F551B"/>
    <w:rsid w:val="005F58C8"/>
    <w:rsid w:val="005F5B94"/>
    <w:rsid w:val="005F6066"/>
    <w:rsid w:val="005F618B"/>
    <w:rsid w:val="005F66B4"/>
    <w:rsid w:val="005F692E"/>
    <w:rsid w:val="005F6CB3"/>
    <w:rsid w:val="005F6D67"/>
    <w:rsid w:val="005F6EC6"/>
    <w:rsid w:val="005F72DD"/>
    <w:rsid w:val="005F797B"/>
    <w:rsid w:val="005F7E99"/>
    <w:rsid w:val="006002A1"/>
    <w:rsid w:val="00600A42"/>
    <w:rsid w:val="006011AC"/>
    <w:rsid w:val="00601E83"/>
    <w:rsid w:val="00602085"/>
    <w:rsid w:val="00602C3C"/>
    <w:rsid w:val="00602DF4"/>
    <w:rsid w:val="00602ECF"/>
    <w:rsid w:val="00602F2B"/>
    <w:rsid w:val="00603077"/>
    <w:rsid w:val="00605B78"/>
    <w:rsid w:val="00606537"/>
    <w:rsid w:val="0060654C"/>
    <w:rsid w:val="006067EB"/>
    <w:rsid w:val="00606A3B"/>
    <w:rsid w:val="00606CEF"/>
    <w:rsid w:val="00606F22"/>
    <w:rsid w:val="00606FD9"/>
    <w:rsid w:val="00607141"/>
    <w:rsid w:val="0060760A"/>
    <w:rsid w:val="00607661"/>
    <w:rsid w:val="006076CF"/>
    <w:rsid w:val="00607807"/>
    <w:rsid w:val="0061006A"/>
    <w:rsid w:val="0061086E"/>
    <w:rsid w:val="00611280"/>
    <w:rsid w:val="00611404"/>
    <w:rsid w:val="006116F8"/>
    <w:rsid w:val="00612047"/>
    <w:rsid w:val="00612108"/>
    <w:rsid w:val="006127F6"/>
    <w:rsid w:val="00613722"/>
    <w:rsid w:val="0061399E"/>
    <w:rsid w:val="00613EC0"/>
    <w:rsid w:val="006141F4"/>
    <w:rsid w:val="00614C49"/>
    <w:rsid w:val="0061504F"/>
    <w:rsid w:val="00615D6E"/>
    <w:rsid w:val="00615FB0"/>
    <w:rsid w:val="0061652B"/>
    <w:rsid w:val="00616AD1"/>
    <w:rsid w:val="006172FF"/>
    <w:rsid w:val="006173BE"/>
    <w:rsid w:val="006173FC"/>
    <w:rsid w:val="00617593"/>
    <w:rsid w:val="00617845"/>
    <w:rsid w:val="00617BF1"/>
    <w:rsid w:val="00620A18"/>
    <w:rsid w:val="00620BDF"/>
    <w:rsid w:val="00621102"/>
    <w:rsid w:val="0062178C"/>
    <w:rsid w:val="006219EC"/>
    <w:rsid w:val="006219F8"/>
    <w:rsid w:val="00621D26"/>
    <w:rsid w:val="00621F4B"/>
    <w:rsid w:val="00621FB2"/>
    <w:rsid w:val="0062249E"/>
    <w:rsid w:val="00622B37"/>
    <w:rsid w:val="00622BCC"/>
    <w:rsid w:val="00623350"/>
    <w:rsid w:val="006234B8"/>
    <w:rsid w:val="006236A7"/>
    <w:rsid w:val="00625296"/>
    <w:rsid w:val="006256DD"/>
    <w:rsid w:val="006257A4"/>
    <w:rsid w:val="00625806"/>
    <w:rsid w:val="00625A33"/>
    <w:rsid w:val="00625B2E"/>
    <w:rsid w:val="00625F2A"/>
    <w:rsid w:val="00626165"/>
    <w:rsid w:val="006262AB"/>
    <w:rsid w:val="00626921"/>
    <w:rsid w:val="00626948"/>
    <w:rsid w:val="00626990"/>
    <w:rsid w:val="00626A82"/>
    <w:rsid w:val="00627589"/>
    <w:rsid w:val="00627917"/>
    <w:rsid w:val="0063044A"/>
    <w:rsid w:val="00630773"/>
    <w:rsid w:val="00630847"/>
    <w:rsid w:val="0063283F"/>
    <w:rsid w:val="00632B3E"/>
    <w:rsid w:val="006334B8"/>
    <w:rsid w:val="0063399A"/>
    <w:rsid w:val="006341FA"/>
    <w:rsid w:val="006344E4"/>
    <w:rsid w:val="00634AB7"/>
    <w:rsid w:val="00634D7E"/>
    <w:rsid w:val="00634DB9"/>
    <w:rsid w:val="00634E7A"/>
    <w:rsid w:val="00634F32"/>
    <w:rsid w:val="006359DF"/>
    <w:rsid w:val="00635B65"/>
    <w:rsid w:val="00635B88"/>
    <w:rsid w:val="00635DE1"/>
    <w:rsid w:val="00635EAD"/>
    <w:rsid w:val="0063635C"/>
    <w:rsid w:val="00636D10"/>
    <w:rsid w:val="0063749B"/>
    <w:rsid w:val="00637991"/>
    <w:rsid w:val="00637E62"/>
    <w:rsid w:val="00637F05"/>
    <w:rsid w:val="006403D6"/>
    <w:rsid w:val="00640DDA"/>
    <w:rsid w:val="006419B4"/>
    <w:rsid w:val="00641A53"/>
    <w:rsid w:val="00641B11"/>
    <w:rsid w:val="00641F67"/>
    <w:rsid w:val="00641FF9"/>
    <w:rsid w:val="0064269F"/>
    <w:rsid w:val="00642AD5"/>
    <w:rsid w:val="00642C08"/>
    <w:rsid w:val="006437DD"/>
    <w:rsid w:val="00644BD9"/>
    <w:rsid w:val="006455E1"/>
    <w:rsid w:val="00645A67"/>
    <w:rsid w:val="0064642D"/>
    <w:rsid w:val="0064691D"/>
    <w:rsid w:val="00646B80"/>
    <w:rsid w:val="00647EE8"/>
    <w:rsid w:val="006503BF"/>
    <w:rsid w:val="006507DF"/>
    <w:rsid w:val="00651354"/>
    <w:rsid w:val="00651761"/>
    <w:rsid w:val="00651A69"/>
    <w:rsid w:val="00651C25"/>
    <w:rsid w:val="00652700"/>
    <w:rsid w:val="00652AF2"/>
    <w:rsid w:val="00652F0E"/>
    <w:rsid w:val="006536D5"/>
    <w:rsid w:val="0065435A"/>
    <w:rsid w:val="00654684"/>
    <w:rsid w:val="00654B42"/>
    <w:rsid w:val="00655045"/>
    <w:rsid w:val="00655169"/>
    <w:rsid w:val="00655B68"/>
    <w:rsid w:val="00655C2E"/>
    <w:rsid w:val="00656C7F"/>
    <w:rsid w:val="006576D2"/>
    <w:rsid w:val="00657782"/>
    <w:rsid w:val="00657926"/>
    <w:rsid w:val="00657D8B"/>
    <w:rsid w:val="00660B5E"/>
    <w:rsid w:val="00660B87"/>
    <w:rsid w:val="0066141C"/>
    <w:rsid w:val="00661805"/>
    <w:rsid w:val="006618D7"/>
    <w:rsid w:val="00661AAE"/>
    <w:rsid w:val="00662023"/>
    <w:rsid w:val="00662413"/>
    <w:rsid w:val="006624C1"/>
    <w:rsid w:val="00662672"/>
    <w:rsid w:val="006631E6"/>
    <w:rsid w:val="00663F53"/>
    <w:rsid w:val="006641C0"/>
    <w:rsid w:val="006641EE"/>
    <w:rsid w:val="0066451E"/>
    <w:rsid w:val="00664AE8"/>
    <w:rsid w:val="00664BF8"/>
    <w:rsid w:val="00664DA4"/>
    <w:rsid w:val="0066510B"/>
    <w:rsid w:val="00665841"/>
    <w:rsid w:val="00665A3B"/>
    <w:rsid w:val="0066674B"/>
    <w:rsid w:val="00667192"/>
    <w:rsid w:val="00667E48"/>
    <w:rsid w:val="006703F5"/>
    <w:rsid w:val="00670536"/>
    <w:rsid w:val="006706FF"/>
    <w:rsid w:val="00670742"/>
    <w:rsid w:val="00670CAB"/>
    <w:rsid w:val="00671046"/>
    <w:rsid w:val="00671323"/>
    <w:rsid w:val="0067180B"/>
    <w:rsid w:val="006719ED"/>
    <w:rsid w:val="00672995"/>
    <w:rsid w:val="006731CD"/>
    <w:rsid w:val="0067394D"/>
    <w:rsid w:val="00673D28"/>
    <w:rsid w:val="00674006"/>
    <w:rsid w:val="0067416F"/>
    <w:rsid w:val="00674480"/>
    <w:rsid w:val="00674626"/>
    <w:rsid w:val="006754BF"/>
    <w:rsid w:val="006759D9"/>
    <w:rsid w:val="00675BD3"/>
    <w:rsid w:val="0067611D"/>
    <w:rsid w:val="0067631C"/>
    <w:rsid w:val="006763FB"/>
    <w:rsid w:val="006765D9"/>
    <w:rsid w:val="00676B9B"/>
    <w:rsid w:val="00676F67"/>
    <w:rsid w:val="006771BB"/>
    <w:rsid w:val="0067745C"/>
    <w:rsid w:val="0068032E"/>
    <w:rsid w:val="00680ADF"/>
    <w:rsid w:val="00680DF3"/>
    <w:rsid w:val="0068157F"/>
    <w:rsid w:val="00681E9B"/>
    <w:rsid w:val="006820BC"/>
    <w:rsid w:val="00682138"/>
    <w:rsid w:val="00682174"/>
    <w:rsid w:val="006825AA"/>
    <w:rsid w:val="006827D7"/>
    <w:rsid w:val="00682962"/>
    <w:rsid w:val="006842A0"/>
    <w:rsid w:val="0068450D"/>
    <w:rsid w:val="00684918"/>
    <w:rsid w:val="006849F4"/>
    <w:rsid w:val="00684E1E"/>
    <w:rsid w:val="006856BA"/>
    <w:rsid w:val="00685D63"/>
    <w:rsid w:val="006861F1"/>
    <w:rsid w:val="0068624B"/>
    <w:rsid w:val="00686882"/>
    <w:rsid w:val="00686E29"/>
    <w:rsid w:val="00686F1D"/>
    <w:rsid w:val="00687091"/>
    <w:rsid w:val="006873CD"/>
    <w:rsid w:val="00687606"/>
    <w:rsid w:val="00687A0E"/>
    <w:rsid w:val="00687A19"/>
    <w:rsid w:val="00690280"/>
    <w:rsid w:val="00690ECA"/>
    <w:rsid w:val="006917B0"/>
    <w:rsid w:val="00691E14"/>
    <w:rsid w:val="006927FC"/>
    <w:rsid w:val="00692C17"/>
    <w:rsid w:val="00692C9E"/>
    <w:rsid w:val="00693527"/>
    <w:rsid w:val="006936C0"/>
    <w:rsid w:val="00695837"/>
    <w:rsid w:val="006960CD"/>
    <w:rsid w:val="00696611"/>
    <w:rsid w:val="00696C03"/>
    <w:rsid w:val="00697299"/>
    <w:rsid w:val="0069731C"/>
    <w:rsid w:val="006979C7"/>
    <w:rsid w:val="00697B6F"/>
    <w:rsid w:val="00697F35"/>
    <w:rsid w:val="006A0292"/>
    <w:rsid w:val="006A0F52"/>
    <w:rsid w:val="006A16BD"/>
    <w:rsid w:val="006A19F8"/>
    <w:rsid w:val="006A204F"/>
    <w:rsid w:val="006A2E57"/>
    <w:rsid w:val="006A3203"/>
    <w:rsid w:val="006A367F"/>
    <w:rsid w:val="006A3CE7"/>
    <w:rsid w:val="006A4196"/>
    <w:rsid w:val="006A4514"/>
    <w:rsid w:val="006A49DB"/>
    <w:rsid w:val="006A4BA7"/>
    <w:rsid w:val="006A4C43"/>
    <w:rsid w:val="006A4E5D"/>
    <w:rsid w:val="006A615C"/>
    <w:rsid w:val="006A62B8"/>
    <w:rsid w:val="006A7121"/>
    <w:rsid w:val="006A7202"/>
    <w:rsid w:val="006A7329"/>
    <w:rsid w:val="006A7F81"/>
    <w:rsid w:val="006B034D"/>
    <w:rsid w:val="006B0559"/>
    <w:rsid w:val="006B0AA7"/>
    <w:rsid w:val="006B0D79"/>
    <w:rsid w:val="006B1415"/>
    <w:rsid w:val="006B1515"/>
    <w:rsid w:val="006B2259"/>
    <w:rsid w:val="006B254C"/>
    <w:rsid w:val="006B2EE0"/>
    <w:rsid w:val="006B2FCF"/>
    <w:rsid w:val="006B336B"/>
    <w:rsid w:val="006B352D"/>
    <w:rsid w:val="006B36A5"/>
    <w:rsid w:val="006B4843"/>
    <w:rsid w:val="006B4B85"/>
    <w:rsid w:val="006B503C"/>
    <w:rsid w:val="006B51A6"/>
    <w:rsid w:val="006B5327"/>
    <w:rsid w:val="006B55F0"/>
    <w:rsid w:val="006B5930"/>
    <w:rsid w:val="006B5BC1"/>
    <w:rsid w:val="006B6FF3"/>
    <w:rsid w:val="006B71C5"/>
    <w:rsid w:val="006B77D1"/>
    <w:rsid w:val="006B7C93"/>
    <w:rsid w:val="006C02AE"/>
    <w:rsid w:val="006C042E"/>
    <w:rsid w:val="006C0566"/>
    <w:rsid w:val="006C0FD6"/>
    <w:rsid w:val="006C14D9"/>
    <w:rsid w:val="006C2496"/>
    <w:rsid w:val="006C2614"/>
    <w:rsid w:val="006C2F40"/>
    <w:rsid w:val="006C2F92"/>
    <w:rsid w:val="006C366B"/>
    <w:rsid w:val="006C3716"/>
    <w:rsid w:val="006C3EBC"/>
    <w:rsid w:val="006C3FFB"/>
    <w:rsid w:val="006C4BBD"/>
    <w:rsid w:val="006C4F53"/>
    <w:rsid w:val="006C5587"/>
    <w:rsid w:val="006C5D02"/>
    <w:rsid w:val="006C60C6"/>
    <w:rsid w:val="006C6280"/>
    <w:rsid w:val="006C637A"/>
    <w:rsid w:val="006C6501"/>
    <w:rsid w:val="006C6900"/>
    <w:rsid w:val="006C71B4"/>
    <w:rsid w:val="006C74FF"/>
    <w:rsid w:val="006D06D1"/>
    <w:rsid w:val="006D13EB"/>
    <w:rsid w:val="006D1848"/>
    <w:rsid w:val="006D1960"/>
    <w:rsid w:val="006D1A3D"/>
    <w:rsid w:val="006D1AFF"/>
    <w:rsid w:val="006D1DEF"/>
    <w:rsid w:val="006D1E44"/>
    <w:rsid w:val="006D26B2"/>
    <w:rsid w:val="006D2E8D"/>
    <w:rsid w:val="006D3DA5"/>
    <w:rsid w:val="006D3E18"/>
    <w:rsid w:val="006D3FA3"/>
    <w:rsid w:val="006D46A7"/>
    <w:rsid w:val="006D4858"/>
    <w:rsid w:val="006D57F9"/>
    <w:rsid w:val="006D5BA2"/>
    <w:rsid w:val="006D5F34"/>
    <w:rsid w:val="006D662D"/>
    <w:rsid w:val="006D671C"/>
    <w:rsid w:val="006D6D46"/>
    <w:rsid w:val="006D72D3"/>
    <w:rsid w:val="006D75D4"/>
    <w:rsid w:val="006D7858"/>
    <w:rsid w:val="006D7896"/>
    <w:rsid w:val="006D79CC"/>
    <w:rsid w:val="006D79CE"/>
    <w:rsid w:val="006D7F51"/>
    <w:rsid w:val="006E0402"/>
    <w:rsid w:val="006E0612"/>
    <w:rsid w:val="006E0719"/>
    <w:rsid w:val="006E0C0A"/>
    <w:rsid w:val="006E0FD9"/>
    <w:rsid w:val="006E15AB"/>
    <w:rsid w:val="006E1A08"/>
    <w:rsid w:val="006E249D"/>
    <w:rsid w:val="006E2588"/>
    <w:rsid w:val="006E2619"/>
    <w:rsid w:val="006E278E"/>
    <w:rsid w:val="006E3556"/>
    <w:rsid w:val="006E3822"/>
    <w:rsid w:val="006E3976"/>
    <w:rsid w:val="006E3D21"/>
    <w:rsid w:val="006E3E52"/>
    <w:rsid w:val="006E4875"/>
    <w:rsid w:val="006E4E0B"/>
    <w:rsid w:val="006E51EA"/>
    <w:rsid w:val="006E5566"/>
    <w:rsid w:val="006E5691"/>
    <w:rsid w:val="006E670A"/>
    <w:rsid w:val="006E6A09"/>
    <w:rsid w:val="006E73ED"/>
    <w:rsid w:val="006F0AE7"/>
    <w:rsid w:val="006F19C2"/>
    <w:rsid w:val="006F1AE6"/>
    <w:rsid w:val="006F1EA5"/>
    <w:rsid w:val="006F2287"/>
    <w:rsid w:val="006F2685"/>
    <w:rsid w:val="006F28D7"/>
    <w:rsid w:val="006F299A"/>
    <w:rsid w:val="006F2D0D"/>
    <w:rsid w:val="006F2E25"/>
    <w:rsid w:val="006F31B7"/>
    <w:rsid w:val="006F3A03"/>
    <w:rsid w:val="006F40CF"/>
    <w:rsid w:val="006F45B7"/>
    <w:rsid w:val="006F47C9"/>
    <w:rsid w:val="006F508A"/>
    <w:rsid w:val="006F5843"/>
    <w:rsid w:val="006F640F"/>
    <w:rsid w:val="006F6497"/>
    <w:rsid w:val="006F658C"/>
    <w:rsid w:val="006F6670"/>
    <w:rsid w:val="006F7364"/>
    <w:rsid w:val="006F73D8"/>
    <w:rsid w:val="006F7534"/>
    <w:rsid w:val="00700B27"/>
    <w:rsid w:val="00700D17"/>
    <w:rsid w:val="00701B5A"/>
    <w:rsid w:val="0070219A"/>
    <w:rsid w:val="007023AA"/>
    <w:rsid w:val="00702465"/>
    <w:rsid w:val="00702FD3"/>
    <w:rsid w:val="007036E2"/>
    <w:rsid w:val="0070392E"/>
    <w:rsid w:val="00703D25"/>
    <w:rsid w:val="007040DD"/>
    <w:rsid w:val="0070441E"/>
    <w:rsid w:val="00704B4F"/>
    <w:rsid w:val="007059EB"/>
    <w:rsid w:val="00706B1D"/>
    <w:rsid w:val="00706C9E"/>
    <w:rsid w:val="007075D8"/>
    <w:rsid w:val="00707E91"/>
    <w:rsid w:val="00710FA6"/>
    <w:rsid w:val="00710FD0"/>
    <w:rsid w:val="007113F0"/>
    <w:rsid w:val="007119E3"/>
    <w:rsid w:val="007123FF"/>
    <w:rsid w:val="00712D52"/>
    <w:rsid w:val="00712F00"/>
    <w:rsid w:val="00712F43"/>
    <w:rsid w:val="00712F81"/>
    <w:rsid w:val="0071350C"/>
    <w:rsid w:val="00713A9C"/>
    <w:rsid w:val="007140A9"/>
    <w:rsid w:val="00714158"/>
    <w:rsid w:val="00714391"/>
    <w:rsid w:val="007143CC"/>
    <w:rsid w:val="00714B2D"/>
    <w:rsid w:val="007156BA"/>
    <w:rsid w:val="00715E53"/>
    <w:rsid w:val="00716796"/>
    <w:rsid w:val="0071761A"/>
    <w:rsid w:val="00717BFC"/>
    <w:rsid w:val="00717DD6"/>
    <w:rsid w:val="00717F5D"/>
    <w:rsid w:val="00720557"/>
    <w:rsid w:val="0072110D"/>
    <w:rsid w:val="00721323"/>
    <w:rsid w:val="00721616"/>
    <w:rsid w:val="00721A95"/>
    <w:rsid w:val="00721D2E"/>
    <w:rsid w:val="00721ED6"/>
    <w:rsid w:val="007227BE"/>
    <w:rsid w:val="0072285E"/>
    <w:rsid w:val="0072344A"/>
    <w:rsid w:val="00724364"/>
    <w:rsid w:val="00724E6E"/>
    <w:rsid w:val="00724EED"/>
    <w:rsid w:val="00725440"/>
    <w:rsid w:val="007257DF"/>
    <w:rsid w:val="00726130"/>
    <w:rsid w:val="0072626D"/>
    <w:rsid w:val="0072679E"/>
    <w:rsid w:val="00726A8C"/>
    <w:rsid w:val="00726BF5"/>
    <w:rsid w:val="00726CB8"/>
    <w:rsid w:val="00726E76"/>
    <w:rsid w:val="0073037C"/>
    <w:rsid w:val="007305B4"/>
    <w:rsid w:val="00730763"/>
    <w:rsid w:val="00731192"/>
    <w:rsid w:val="00731DA8"/>
    <w:rsid w:val="00731EBB"/>
    <w:rsid w:val="007327DB"/>
    <w:rsid w:val="00732CE6"/>
    <w:rsid w:val="00733273"/>
    <w:rsid w:val="00733B6D"/>
    <w:rsid w:val="00733B9A"/>
    <w:rsid w:val="00734079"/>
    <w:rsid w:val="00734284"/>
    <w:rsid w:val="007343FA"/>
    <w:rsid w:val="00734654"/>
    <w:rsid w:val="00734F25"/>
    <w:rsid w:val="00735C34"/>
    <w:rsid w:val="0073600A"/>
    <w:rsid w:val="00736020"/>
    <w:rsid w:val="0073651A"/>
    <w:rsid w:val="00736785"/>
    <w:rsid w:val="00736909"/>
    <w:rsid w:val="007370DA"/>
    <w:rsid w:val="0073777E"/>
    <w:rsid w:val="00737F1D"/>
    <w:rsid w:val="00740046"/>
    <w:rsid w:val="00740B88"/>
    <w:rsid w:val="00740DDB"/>
    <w:rsid w:val="00740F21"/>
    <w:rsid w:val="0074140C"/>
    <w:rsid w:val="00742259"/>
    <w:rsid w:val="00742556"/>
    <w:rsid w:val="007430AB"/>
    <w:rsid w:val="00743793"/>
    <w:rsid w:val="0074379E"/>
    <w:rsid w:val="00743A5E"/>
    <w:rsid w:val="0074470A"/>
    <w:rsid w:val="007447D1"/>
    <w:rsid w:val="007457A9"/>
    <w:rsid w:val="007457F5"/>
    <w:rsid w:val="00745FCE"/>
    <w:rsid w:val="00746135"/>
    <w:rsid w:val="007464E3"/>
    <w:rsid w:val="00746AC7"/>
    <w:rsid w:val="007470B2"/>
    <w:rsid w:val="0075001F"/>
    <w:rsid w:val="0075032E"/>
    <w:rsid w:val="007507F5"/>
    <w:rsid w:val="00750BC2"/>
    <w:rsid w:val="0075103B"/>
    <w:rsid w:val="00751B21"/>
    <w:rsid w:val="00751E8E"/>
    <w:rsid w:val="00753426"/>
    <w:rsid w:val="007534FF"/>
    <w:rsid w:val="007535D0"/>
    <w:rsid w:val="00754393"/>
    <w:rsid w:val="00755A6E"/>
    <w:rsid w:val="00755EBD"/>
    <w:rsid w:val="007567B4"/>
    <w:rsid w:val="007569B3"/>
    <w:rsid w:val="007571AF"/>
    <w:rsid w:val="0075777D"/>
    <w:rsid w:val="00760368"/>
    <w:rsid w:val="00760AA9"/>
    <w:rsid w:val="00760B0F"/>
    <w:rsid w:val="007613FD"/>
    <w:rsid w:val="0076191D"/>
    <w:rsid w:val="00761989"/>
    <w:rsid w:val="007623D6"/>
    <w:rsid w:val="00762AAE"/>
    <w:rsid w:val="00762CD7"/>
    <w:rsid w:val="0076303C"/>
    <w:rsid w:val="007630F3"/>
    <w:rsid w:val="00763A4A"/>
    <w:rsid w:val="00763A4E"/>
    <w:rsid w:val="00763E0D"/>
    <w:rsid w:val="00763F51"/>
    <w:rsid w:val="00763FDD"/>
    <w:rsid w:val="00764059"/>
    <w:rsid w:val="00764203"/>
    <w:rsid w:val="007642E8"/>
    <w:rsid w:val="00764772"/>
    <w:rsid w:val="00764988"/>
    <w:rsid w:val="00765075"/>
    <w:rsid w:val="00765148"/>
    <w:rsid w:val="00765E5E"/>
    <w:rsid w:val="00766150"/>
    <w:rsid w:val="00766211"/>
    <w:rsid w:val="00766477"/>
    <w:rsid w:val="00766892"/>
    <w:rsid w:val="007671BF"/>
    <w:rsid w:val="007671F4"/>
    <w:rsid w:val="00767579"/>
    <w:rsid w:val="007678B6"/>
    <w:rsid w:val="007679D6"/>
    <w:rsid w:val="00767C7E"/>
    <w:rsid w:val="00767CF7"/>
    <w:rsid w:val="00767FF9"/>
    <w:rsid w:val="0077069A"/>
    <w:rsid w:val="00770ED3"/>
    <w:rsid w:val="007713E9"/>
    <w:rsid w:val="00771879"/>
    <w:rsid w:val="00771A79"/>
    <w:rsid w:val="00771AEE"/>
    <w:rsid w:val="00772530"/>
    <w:rsid w:val="00772F42"/>
    <w:rsid w:val="00773134"/>
    <w:rsid w:val="00773480"/>
    <w:rsid w:val="007739AB"/>
    <w:rsid w:val="00774072"/>
    <w:rsid w:val="0077454F"/>
    <w:rsid w:val="00775BE2"/>
    <w:rsid w:val="00776140"/>
    <w:rsid w:val="007764D2"/>
    <w:rsid w:val="007765A8"/>
    <w:rsid w:val="00776BAC"/>
    <w:rsid w:val="00777541"/>
    <w:rsid w:val="00777B5B"/>
    <w:rsid w:val="00777FA5"/>
    <w:rsid w:val="0078013E"/>
    <w:rsid w:val="00780B7E"/>
    <w:rsid w:val="0078151E"/>
    <w:rsid w:val="0078160A"/>
    <w:rsid w:val="00781691"/>
    <w:rsid w:val="0078183F"/>
    <w:rsid w:val="007821F1"/>
    <w:rsid w:val="007822A2"/>
    <w:rsid w:val="00782327"/>
    <w:rsid w:val="007823C8"/>
    <w:rsid w:val="00782532"/>
    <w:rsid w:val="00782BCB"/>
    <w:rsid w:val="007837B1"/>
    <w:rsid w:val="00783A36"/>
    <w:rsid w:val="007846D0"/>
    <w:rsid w:val="0078517D"/>
    <w:rsid w:val="007855B2"/>
    <w:rsid w:val="007861FE"/>
    <w:rsid w:val="00786888"/>
    <w:rsid w:val="00786919"/>
    <w:rsid w:val="0078763F"/>
    <w:rsid w:val="00787694"/>
    <w:rsid w:val="00787B29"/>
    <w:rsid w:val="00790010"/>
    <w:rsid w:val="007907FE"/>
    <w:rsid w:val="00790A39"/>
    <w:rsid w:val="007918B4"/>
    <w:rsid w:val="00791B24"/>
    <w:rsid w:val="00791B55"/>
    <w:rsid w:val="00791E95"/>
    <w:rsid w:val="007922E5"/>
    <w:rsid w:val="00792952"/>
    <w:rsid w:val="00792CAE"/>
    <w:rsid w:val="00792EB9"/>
    <w:rsid w:val="0079341C"/>
    <w:rsid w:val="0079391C"/>
    <w:rsid w:val="007942AD"/>
    <w:rsid w:val="007942FB"/>
    <w:rsid w:val="00794665"/>
    <w:rsid w:val="0079491F"/>
    <w:rsid w:val="00794A0F"/>
    <w:rsid w:val="00794BA8"/>
    <w:rsid w:val="00796E0F"/>
    <w:rsid w:val="00797490"/>
    <w:rsid w:val="007977C5"/>
    <w:rsid w:val="00797A02"/>
    <w:rsid w:val="007A0505"/>
    <w:rsid w:val="007A0D25"/>
    <w:rsid w:val="007A2111"/>
    <w:rsid w:val="007A22F3"/>
    <w:rsid w:val="007A247F"/>
    <w:rsid w:val="007A258C"/>
    <w:rsid w:val="007A290B"/>
    <w:rsid w:val="007A2A2F"/>
    <w:rsid w:val="007A3012"/>
    <w:rsid w:val="007A3710"/>
    <w:rsid w:val="007A3820"/>
    <w:rsid w:val="007A3A23"/>
    <w:rsid w:val="007A3AFD"/>
    <w:rsid w:val="007A4E2D"/>
    <w:rsid w:val="007A5082"/>
    <w:rsid w:val="007A6EB2"/>
    <w:rsid w:val="007A7253"/>
    <w:rsid w:val="007A7879"/>
    <w:rsid w:val="007A7D75"/>
    <w:rsid w:val="007B094E"/>
    <w:rsid w:val="007B119F"/>
    <w:rsid w:val="007B14D9"/>
    <w:rsid w:val="007B19FA"/>
    <w:rsid w:val="007B1F67"/>
    <w:rsid w:val="007B2807"/>
    <w:rsid w:val="007B2A6C"/>
    <w:rsid w:val="007B2BB3"/>
    <w:rsid w:val="007B3372"/>
    <w:rsid w:val="007B34CB"/>
    <w:rsid w:val="007B3B3A"/>
    <w:rsid w:val="007B41D3"/>
    <w:rsid w:val="007B4237"/>
    <w:rsid w:val="007B4551"/>
    <w:rsid w:val="007B52FD"/>
    <w:rsid w:val="007B541C"/>
    <w:rsid w:val="007B5970"/>
    <w:rsid w:val="007B5AC8"/>
    <w:rsid w:val="007B5B12"/>
    <w:rsid w:val="007B6145"/>
    <w:rsid w:val="007B6380"/>
    <w:rsid w:val="007B6A6C"/>
    <w:rsid w:val="007B7887"/>
    <w:rsid w:val="007C0043"/>
    <w:rsid w:val="007C021F"/>
    <w:rsid w:val="007C035F"/>
    <w:rsid w:val="007C0623"/>
    <w:rsid w:val="007C08F6"/>
    <w:rsid w:val="007C1832"/>
    <w:rsid w:val="007C1AC5"/>
    <w:rsid w:val="007C1CF2"/>
    <w:rsid w:val="007C21F5"/>
    <w:rsid w:val="007C230C"/>
    <w:rsid w:val="007C2853"/>
    <w:rsid w:val="007C29E5"/>
    <w:rsid w:val="007C2D94"/>
    <w:rsid w:val="007C3103"/>
    <w:rsid w:val="007C4214"/>
    <w:rsid w:val="007C43B3"/>
    <w:rsid w:val="007C499E"/>
    <w:rsid w:val="007C4ED6"/>
    <w:rsid w:val="007C4F69"/>
    <w:rsid w:val="007C5585"/>
    <w:rsid w:val="007C5767"/>
    <w:rsid w:val="007C5A7B"/>
    <w:rsid w:val="007C5CA0"/>
    <w:rsid w:val="007C5E7A"/>
    <w:rsid w:val="007C686E"/>
    <w:rsid w:val="007C6B8F"/>
    <w:rsid w:val="007C7737"/>
    <w:rsid w:val="007C7941"/>
    <w:rsid w:val="007D018B"/>
    <w:rsid w:val="007D0F10"/>
    <w:rsid w:val="007D1055"/>
    <w:rsid w:val="007D116B"/>
    <w:rsid w:val="007D1590"/>
    <w:rsid w:val="007D1C12"/>
    <w:rsid w:val="007D2529"/>
    <w:rsid w:val="007D2691"/>
    <w:rsid w:val="007D2EC6"/>
    <w:rsid w:val="007D34E8"/>
    <w:rsid w:val="007D3BE9"/>
    <w:rsid w:val="007D3D19"/>
    <w:rsid w:val="007D3DEB"/>
    <w:rsid w:val="007D41F4"/>
    <w:rsid w:val="007D42A4"/>
    <w:rsid w:val="007D432D"/>
    <w:rsid w:val="007D48DD"/>
    <w:rsid w:val="007D4C75"/>
    <w:rsid w:val="007D5EB1"/>
    <w:rsid w:val="007D6002"/>
    <w:rsid w:val="007D60EB"/>
    <w:rsid w:val="007D64AB"/>
    <w:rsid w:val="007D651B"/>
    <w:rsid w:val="007D67D0"/>
    <w:rsid w:val="007D685E"/>
    <w:rsid w:val="007D68C7"/>
    <w:rsid w:val="007D738F"/>
    <w:rsid w:val="007E0181"/>
    <w:rsid w:val="007E05D3"/>
    <w:rsid w:val="007E0972"/>
    <w:rsid w:val="007E0D04"/>
    <w:rsid w:val="007E0E31"/>
    <w:rsid w:val="007E0E33"/>
    <w:rsid w:val="007E0F18"/>
    <w:rsid w:val="007E13C5"/>
    <w:rsid w:val="007E1762"/>
    <w:rsid w:val="007E1CBF"/>
    <w:rsid w:val="007E208A"/>
    <w:rsid w:val="007E2179"/>
    <w:rsid w:val="007E2196"/>
    <w:rsid w:val="007E21F9"/>
    <w:rsid w:val="007E25C3"/>
    <w:rsid w:val="007E28C1"/>
    <w:rsid w:val="007E2D20"/>
    <w:rsid w:val="007E3565"/>
    <w:rsid w:val="007E385A"/>
    <w:rsid w:val="007E3E4B"/>
    <w:rsid w:val="007E3EE0"/>
    <w:rsid w:val="007E409A"/>
    <w:rsid w:val="007E4920"/>
    <w:rsid w:val="007E4ED0"/>
    <w:rsid w:val="007E5241"/>
    <w:rsid w:val="007E526B"/>
    <w:rsid w:val="007E5276"/>
    <w:rsid w:val="007E542F"/>
    <w:rsid w:val="007E56E0"/>
    <w:rsid w:val="007E7122"/>
    <w:rsid w:val="007E72E8"/>
    <w:rsid w:val="007E7663"/>
    <w:rsid w:val="007E7941"/>
    <w:rsid w:val="007E7EC3"/>
    <w:rsid w:val="007F0243"/>
    <w:rsid w:val="007F1253"/>
    <w:rsid w:val="007F144A"/>
    <w:rsid w:val="007F1AA7"/>
    <w:rsid w:val="007F1CBC"/>
    <w:rsid w:val="007F1F6F"/>
    <w:rsid w:val="007F207E"/>
    <w:rsid w:val="007F2517"/>
    <w:rsid w:val="007F2688"/>
    <w:rsid w:val="007F29D8"/>
    <w:rsid w:val="007F2AEC"/>
    <w:rsid w:val="007F2D43"/>
    <w:rsid w:val="007F3197"/>
    <w:rsid w:val="007F33DE"/>
    <w:rsid w:val="007F3494"/>
    <w:rsid w:val="007F386B"/>
    <w:rsid w:val="007F3CFF"/>
    <w:rsid w:val="007F4661"/>
    <w:rsid w:val="007F4682"/>
    <w:rsid w:val="007F4F78"/>
    <w:rsid w:val="007F500F"/>
    <w:rsid w:val="007F59ED"/>
    <w:rsid w:val="007F615C"/>
    <w:rsid w:val="007F663B"/>
    <w:rsid w:val="007F72A6"/>
    <w:rsid w:val="007F749A"/>
    <w:rsid w:val="007F7521"/>
    <w:rsid w:val="008004C6"/>
    <w:rsid w:val="00800E4B"/>
    <w:rsid w:val="00800F2D"/>
    <w:rsid w:val="008015AC"/>
    <w:rsid w:val="00801754"/>
    <w:rsid w:val="00802157"/>
    <w:rsid w:val="008021E9"/>
    <w:rsid w:val="00802584"/>
    <w:rsid w:val="00802A72"/>
    <w:rsid w:val="00803388"/>
    <w:rsid w:val="008039BE"/>
    <w:rsid w:val="00803BF1"/>
    <w:rsid w:val="00803DA0"/>
    <w:rsid w:val="00804309"/>
    <w:rsid w:val="00804534"/>
    <w:rsid w:val="00805031"/>
    <w:rsid w:val="008051EA"/>
    <w:rsid w:val="008052B8"/>
    <w:rsid w:val="00805580"/>
    <w:rsid w:val="008061BA"/>
    <w:rsid w:val="00806605"/>
    <w:rsid w:val="008069E1"/>
    <w:rsid w:val="008075AD"/>
    <w:rsid w:val="00807994"/>
    <w:rsid w:val="0081007B"/>
    <w:rsid w:val="008104B5"/>
    <w:rsid w:val="00811837"/>
    <w:rsid w:val="008120DE"/>
    <w:rsid w:val="00812320"/>
    <w:rsid w:val="00812403"/>
    <w:rsid w:val="0081248A"/>
    <w:rsid w:val="00812A97"/>
    <w:rsid w:val="00813006"/>
    <w:rsid w:val="00813045"/>
    <w:rsid w:val="00813879"/>
    <w:rsid w:val="00813AB3"/>
    <w:rsid w:val="00813B2F"/>
    <w:rsid w:val="0081445D"/>
    <w:rsid w:val="0081462C"/>
    <w:rsid w:val="008146FE"/>
    <w:rsid w:val="00814989"/>
    <w:rsid w:val="008149AF"/>
    <w:rsid w:val="00814CC8"/>
    <w:rsid w:val="00815473"/>
    <w:rsid w:val="00815814"/>
    <w:rsid w:val="00815825"/>
    <w:rsid w:val="00816377"/>
    <w:rsid w:val="00817772"/>
    <w:rsid w:val="00817AF4"/>
    <w:rsid w:val="00817E17"/>
    <w:rsid w:val="0082078E"/>
    <w:rsid w:val="008209D6"/>
    <w:rsid w:val="00820B5F"/>
    <w:rsid w:val="00820EA4"/>
    <w:rsid w:val="008213A1"/>
    <w:rsid w:val="008214CB"/>
    <w:rsid w:val="008217A3"/>
    <w:rsid w:val="008224FC"/>
    <w:rsid w:val="00822BAD"/>
    <w:rsid w:val="00823C7B"/>
    <w:rsid w:val="00823CA5"/>
    <w:rsid w:val="00824321"/>
    <w:rsid w:val="0082476D"/>
    <w:rsid w:val="008247DE"/>
    <w:rsid w:val="008258C1"/>
    <w:rsid w:val="00825A15"/>
    <w:rsid w:val="00825A8B"/>
    <w:rsid w:val="00825CD9"/>
    <w:rsid w:val="0082610B"/>
    <w:rsid w:val="008266EF"/>
    <w:rsid w:val="00826A8C"/>
    <w:rsid w:val="00826BDD"/>
    <w:rsid w:val="0083052C"/>
    <w:rsid w:val="00830ADA"/>
    <w:rsid w:val="00831498"/>
    <w:rsid w:val="008318D4"/>
    <w:rsid w:val="00831BC2"/>
    <w:rsid w:val="00831E8B"/>
    <w:rsid w:val="008322E6"/>
    <w:rsid w:val="00832347"/>
    <w:rsid w:val="00832E05"/>
    <w:rsid w:val="008337E7"/>
    <w:rsid w:val="00833AA7"/>
    <w:rsid w:val="00833F06"/>
    <w:rsid w:val="00834227"/>
    <w:rsid w:val="00834564"/>
    <w:rsid w:val="00834905"/>
    <w:rsid w:val="00835B39"/>
    <w:rsid w:val="00836480"/>
    <w:rsid w:val="008364B7"/>
    <w:rsid w:val="00836C9B"/>
    <w:rsid w:val="00836E46"/>
    <w:rsid w:val="00836EEB"/>
    <w:rsid w:val="00836F95"/>
    <w:rsid w:val="00837A2E"/>
    <w:rsid w:val="00837B8E"/>
    <w:rsid w:val="00840444"/>
    <w:rsid w:val="00840480"/>
    <w:rsid w:val="00840A86"/>
    <w:rsid w:val="00840C2A"/>
    <w:rsid w:val="00840DF2"/>
    <w:rsid w:val="00840FA9"/>
    <w:rsid w:val="008418F3"/>
    <w:rsid w:val="0084229E"/>
    <w:rsid w:val="00842883"/>
    <w:rsid w:val="00842C89"/>
    <w:rsid w:val="00842E17"/>
    <w:rsid w:val="00843195"/>
    <w:rsid w:val="008436C4"/>
    <w:rsid w:val="008439F5"/>
    <w:rsid w:val="00843D8B"/>
    <w:rsid w:val="008440D5"/>
    <w:rsid w:val="00844EEE"/>
    <w:rsid w:val="008452F4"/>
    <w:rsid w:val="008453E4"/>
    <w:rsid w:val="008457AF"/>
    <w:rsid w:val="00845973"/>
    <w:rsid w:val="00845C34"/>
    <w:rsid w:val="0084616A"/>
    <w:rsid w:val="0084695E"/>
    <w:rsid w:val="00846C85"/>
    <w:rsid w:val="00846DF4"/>
    <w:rsid w:val="00846FFA"/>
    <w:rsid w:val="00847685"/>
    <w:rsid w:val="008478C7"/>
    <w:rsid w:val="00847939"/>
    <w:rsid w:val="00847A96"/>
    <w:rsid w:val="00850639"/>
    <w:rsid w:val="00850941"/>
    <w:rsid w:val="008513F1"/>
    <w:rsid w:val="008519DB"/>
    <w:rsid w:val="00851F58"/>
    <w:rsid w:val="008520B7"/>
    <w:rsid w:val="00852179"/>
    <w:rsid w:val="00852A55"/>
    <w:rsid w:val="0085349A"/>
    <w:rsid w:val="00853ADF"/>
    <w:rsid w:val="0085405D"/>
    <w:rsid w:val="008548E2"/>
    <w:rsid w:val="00854FDA"/>
    <w:rsid w:val="008554A3"/>
    <w:rsid w:val="00856E10"/>
    <w:rsid w:val="0085704A"/>
    <w:rsid w:val="00857656"/>
    <w:rsid w:val="00857A6B"/>
    <w:rsid w:val="00857FE5"/>
    <w:rsid w:val="0086018A"/>
    <w:rsid w:val="00860303"/>
    <w:rsid w:val="0086050A"/>
    <w:rsid w:val="00860739"/>
    <w:rsid w:val="00861D15"/>
    <w:rsid w:val="00861FC6"/>
    <w:rsid w:val="00862A5F"/>
    <w:rsid w:val="008630D2"/>
    <w:rsid w:val="0086335E"/>
    <w:rsid w:val="00863BDE"/>
    <w:rsid w:val="00863DB0"/>
    <w:rsid w:val="00864179"/>
    <w:rsid w:val="008647E8"/>
    <w:rsid w:val="00864C5F"/>
    <w:rsid w:val="00864C74"/>
    <w:rsid w:val="00866354"/>
    <w:rsid w:val="00866645"/>
    <w:rsid w:val="00866B10"/>
    <w:rsid w:val="00866C95"/>
    <w:rsid w:val="008674ED"/>
    <w:rsid w:val="00867504"/>
    <w:rsid w:val="008675A8"/>
    <w:rsid w:val="008679FC"/>
    <w:rsid w:val="008702AB"/>
    <w:rsid w:val="00870BE5"/>
    <w:rsid w:val="00870C4C"/>
    <w:rsid w:val="00870D02"/>
    <w:rsid w:val="00870D79"/>
    <w:rsid w:val="0087108C"/>
    <w:rsid w:val="00871289"/>
    <w:rsid w:val="00871369"/>
    <w:rsid w:val="0087239C"/>
    <w:rsid w:val="0087243A"/>
    <w:rsid w:val="0087286A"/>
    <w:rsid w:val="00872F91"/>
    <w:rsid w:val="008731EB"/>
    <w:rsid w:val="0087352C"/>
    <w:rsid w:val="00873CA1"/>
    <w:rsid w:val="00873D99"/>
    <w:rsid w:val="00873DCF"/>
    <w:rsid w:val="008740A6"/>
    <w:rsid w:val="0087416A"/>
    <w:rsid w:val="0087428E"/>
    <w:rsid w:val="00874361"/>
    <w:rsid w:val="008744F9"/>
    <w:rsid w:val="00874823"/>
    <w:rsid w:val="008762C6"/>
    <w:rsid w:val="008768E1"/>
    <w:rsid w:val="00877653"/>
    <w:rsid w:val="00877995"/>
    <w:rsid w:val="0088036E"/>
    <w:rsid w:val="008803AB"/>
    <w:rsid w:val="008804DA"/>
    <w:rsid w:val="0088076D"/>
    <w:rsid w:val="008808D8"/>
    <w:rsid w:val="0088102F"/>
    <w:rsid w:val="00881136"/>
    <w:rsid w:val="00881739"/>
    <w:rsid w:val="00882757"/>
    <w:rsid w:val="00882CDB"/>
    <w:rsid w:val="00882EF1"/>
    <w:rsid w:val="0088307B"/>
    <w:rsid w:val="00883773"/>
    <w:rsid w:val="008839D3"/>
    <w:rsid w:val="008839E8"/>
    <w:rsid w:val="00883FCE"/>
    <w:rsid w:val="00884612"/>
    <w:rsid w:val="00885B60"/>
    <w:rsid w:val="00886471"/>
    <w:rsid w:val="00886571"/>
    <w:rsid w:val="00886905"/>
    <w:rsid w:val="00886D06"/>
    <w:rsid w:val="00887756"/>
    <w:rsid w:val="0088784F"/>
    <w:rsid w:val="00887C70"/>
    <w:rsid w:val="0089031C"/>
    <w:rsid w:val="00890685"/>
    <w:rsid w:val="00890790"/>
    <w:rsid w:val="00890C44"/>
    <w:rsid w:val="00890FD6"/>
    <w:rsid w:val="00891030"/>
    <w:rsid w:val="00891329"/>
    <w:rsid w:val="0089227B"/>
    <w:rsid w:val="00892947"/>
    <w:rsid w:val="008930EB"/>
    <w:rsid w:val="00893179"/>
    <w:rsid w:val="008932EB"/>
    <w:rsid w:val="0089372A"/>
    <w:rsid w:val="008937FA"/>
    <w:rsid w:val="00893999"/>
    <w:rsid w:val="00893C60"/>
    <w:rsid w:val="00894350"/>
    <w:rsid w:val="008943A2"/>
    <w:rsid w:val="00894D51"/>
    <w:rsid w:val="00894EFA"/>
    <w:rsid w:val="0089582F"/>
    <w:rsid w:val="00895AFA"/>
    <w:rsid w:val="00895C46"/>
    <w:rsid w:val="008961A1"/>
    <w:rsid w:val="008964B0"/>
    <w:rsid w:val="008964FC"/>
    <w:rsid w:val="00896928"/>
    <w:rsid w:val="00896965"/>
    <w:rsid w:val="00896B80"/>
    <w:rsid w:val="00896EE9"/>
    <w:rsid w:val="008974C7"/>
    <w:rsid w:val="008975E7"/>
    <w:rsid w:val="00897C78"/>
    <w:rsid w:val="00897EBF"/>
    <w:rsid w:val="008A0456"/>
    <w:rsid w:val="008A078A"/>
    <w:rsid w:val="008A07BF"/>
    <w:rsid w:val="008A0A7F"/>
    <w:rsid w:val="008A0E44"/>
    <w:rsid w:val="008A122C"/>
    <w:rsid w:val="008A1738"/>
    <w:rsid w:val="008A1BAB"/>
    <w:rsid w:val="008A1FB8"/>
    <w:rsid w:val="008A22C9"/>
    <w:rsid w:val="008A2BE8"/>
    <w:rsid w:val="008A3106"/>
    <w:rsid w:val="008A31AE"/>
    <w:rsid w:val="008A3349"/>
    <w:rsid w:val="008A3707"/>
    <w:rsid w:val="008A3983"/>
    <w:rsid w:val="008A3BD8"/>
    <w:rsid w:val="008A40EE"/>
    <w:rsid w:val="008A4D8A"/>
    <w:rsid w:val="008A516F"/>
    <w:rsid w:val="008A5641"/>
    <w:rsid w:val="008A5C39"/>
    <w:rsid w:val="008A5F4A"/>
    <w:rsid w:val="008A719C"/>
    <w:rsid w:val="008A7C57"/>
    <w:rsid w:val="008A7F49"/>
    <w:rsid w:val="008B036C"/>
    <w:rsid w:val="008B0FB2"/>
    <w:rsid w:val="008B1345"/>
    <w:rsid w:val="008B1E06"/>
    <w:rsid w:val="008B2994"/>
    <w:rsid w:val="008B3134"/>
    <w:rsid w:val="008B31B8"/>
    <w:rsid w:val="008B33B5"/>
    <w:rsid w:val="008B3493"/>
    <w:rsid w:val="008B351B"/>
    <w:rsid w:val="008B38C1"/>
    <w:rsid w:val="008B402A"/>
    <w:rsid w:val="008B405B"/>
    <w:rsid w:val="008B4761"/>
    <w:rsid w:val="008B4C75"/>
    <w:rsid w:val="008B4C78"/>
    <w:rsid w:val="008B4D9D"/>
    <w:rsid w:val="008B4F56"/>
    <w:rsid w:val="008B575F"/>
    <w:rsid w:val="008B5870"/>
    <w:rsid w:val="008B5B87"/>
    <w:rsid w:val="008B5C72"/>
    <w:rsid w:val="008B5CD4"/>
    <w:rsid w:val="008B6002"/>
    <w:rsid w:val="008B61C5"/>
    <w:rsid w:val="008B6467"/>
    <w:rsid w:val="008B6580"/>
    <w:rsid w:val="008B65B7"/>
    <w:rsid w:val="008B67BD"/>
    <w:rsid w:val="008B74CA"/>
    <w:rsid w:val="008C0488"/>
    <w:rsid w:val="008C0767"/>
    <w:rsid w:val="008C0F1E"/>
    <w:rsid w:val="008C10C3"/>
    <w:rsid w:val="008C2117"/>
    <w:rsid w:val="008C2AA3"/>
    <w:rsid w:val="008C3044"/>
    <w:rsid w:val="008C355B"/>
    <w:rsid w:val="008C371C"/>
    <w:rsid w:val="008C3C17"/>
    <w:rsid w:val="008C3DC8"/>
    <w:rsid w:val="008C40A2"/>
    <w:rsid w:val="008C43A6"/>
    <w:rsid w:val="008C45B7"/>
    <w:rsid w:val="008C4C70"/>
    <w:rsid w:val="008C4E63"/>
    <w:rsid w:val="008C5403"/>
    <w:rsid w:val="008C5AFF"/>
    <w:rsid w:val="008C5E67"/>
    <w:rsid w:val="008C685B"/>
    <w:rsid w:val="008C6AC0"/>
    <w:rsid w:val="008C6B45"/>
    <w:rsid w:val="008C6CC5"/>
    <w:rsid w:val="008C6D34"/>
    <w:rsid w:val="008C6DF5"/>
    <w:rsid w:val="008C7183"/>
    <w:rsid w:val="008C773C"/>
    <w:rsid w:val="008C7937"/>
    <w:rsid w:val="008D0148"/>
    <w:rsid w:val="008D0731"/>
    <w:rsid w:val="008D081D"/>
    <w:rsid w:val="008D0EBE"/>
    <w:rsid w:val="008D1188"/>
    <w:rsid w:val="008D223C"/>
    <w:rsid w:val="008D28CC"/>
    <w:rsid w:val="008D29FC"/>
    <w:rsid w:val="008D2CFB"/>
    <w:rsid w:val="008D2D42"/>
    <w:rsid w:val="008D2DEF"/>
    <w:rsid w:val="008D3A23"/>
    <w:rsid w:val="008D3DF8"/>
    <w:rsid w:val="008D427B"/>
    <w:rsid w:val="008D47EB"/>
    <w:rsid w:val="008D5412"/>
    <w:rsid w:val="008D659B"/>
    <w:rsid w:val="008D6C5A"/>
    <w:rsid w:val="008D6E5D"/>
    <w:rsid w:val="008D7738"/>
    <w:rsid w:val="008D7C94"/>
    <w:rsid w:val="008D7F11"/>
    <w:rsid w:val="008E0447"/>
    <w:rsid w:val="008E062D"/>
    <w:rsid w:val="008E0670"/>
    <w:rsid w:val="008E0BCF"/>
    <w:rsid w:val="008E1339"/>
    <w:rsid w:val="008E1BED"/>
    <w:rsid w:val="008E263F"/>
    <w:rsid w:val="008E2B4E"/>
    <w:rsid w:val="008E2D94"/>
    <w:rsid w:val="008E2DBF"/>
    <w:rsid w:val="008E2F9F"/>
    <w:rsid w:val="008E2FD6"/>
    <w:rsid w:val="008E3F61"/>
    <w:rsid w:val="008E55E7"/>
    <w:rsid w:val="008E5B9F"/>
    <w:rsid w:val="008E5C3A"/>
    <w:rsid w:val="008E699A"/>
    <w:rsid w:val="008E7625"/>
    <w:rsid w:val="008E7913"/>
    <w:rsid w:val="008E7982"/>
    <w:rsid w:val="008E7A00"/>
    <w:rsid w:val="008E7EBE"/>
    <w:rsid w:val="008E7FB0"/>
    <w:rsid w:val="008F0288"/>
    <w:rsid w:val="008F02CB"/>
    <w:rsid w:val="008F0F23"/>
    <w:rsid w:val="008F169F"/>
    <w:rsid w:val="008F17CF"/>
    <w:rsid w:val="008F1BF7"/>
    <w:rsid w:val="008F1CF1"/>
    <w:rsid w:val="008F24C2"/>
    <w:rsid w:val="008F2C4A"/>
    <w:rsid w:val="008F2CBB"/>
    <w:rsid w:val="008F2D0E"/>
    <w:rsid w:val="008F2EA2"/>
    <w:rsid w:val="008F312C"/>
    <w:rsid w:val="008F3337"/>
    <w:rsid w:val="008F3BEA"/>
    <w:rsid w:val="008F3D8F"/>
    <w:rsid w:val="008F42A1"/>
    <w:rsid w:val="008F470B"/>
    <w:rsid w:val="008F4CCD"/>
    <w:rsid w:val="008F58FF"/>
    <w:rsid w:val="008F5AE0"/>
    <w:rsid w:val="008F6F06"/>
    <w:rsid w:val="008F7050"/>
    <w:rsid w:val="008F7C40"/>
    <w:rsid w:val="009000B9"/>
    <w:rsid w:val="00900232"/>
    <w:rsid w:val="00900D9E"/>
    <w:rsid w:val="00900ECE"/>
    <w:rsid w:val="0090252E"/>
    <w:rsid w:val="00903150"/>
    <w:rsid w:val="009033D2"/>
    <w:rsid w:val="009036E3"/>
    <w:rsid w:val="009041DF"/>
    <w:rsid w:val="0090495F"/>
    <w:rsid w:val="009053F3"/>
    <w:rsid w:val="00905960"/>
    <w:rsid w:val="009071E1"/>
    <w:rsid w:val="00907E66"/>
    <w:rsid w:val="00910232"/>
    <w:rsid w:val="0091063B"/>
    <w:rsid w:val="009107B7"/>
    <w:rsid w:val="00910B73"/>
    <w:rsid w:val="009110C1"/>
    <w:rsid w:val="0091169F"/>
    <w:rsid w:val="009121F3"/>
    <w:rsid w:val="00912850"/>
    <w:rsid w:val="00912D35"/>
    <w:rsid w:val="00912E72"/>
    <w:rsid w:val="009130CE"/>
    <w:rsid w:val="0091334E"/>
    <w:rsid w:val="00913564"/>
    <w:rsid w:val="0091388D"/>
    <w:rsid w:val="00913D24"/>
    <w:rsid w:val="00914010"/>
    <w:rsid w:val="009141B5"/>
    <w:rsid w:val="009145F5"/>
    <w:rsid w:val="00914915"/>
    <w:rsid w:val="00914957"/>
    <w:rsid w:val="00915E3E"/>
    <w:rsid w:val="00915FBF"/>
    <w:rsid w:val="00916244"/>
    <w:rsid w:val="009165CD"/>
    <w:rsid w:val="00916CCF"/>
    <w:rsid w:val="009171FC"/>
    <w:rsid w:val="0091757D"/>
    <w:rsid w:val="00917B7A"/>
    <w:rsid w:val="009200EB"/>
    <w:rsid w:val="0092022F"/>
    <w:rsid w:val="00920289"/>
    <w:rsid w:val="00920CCD"/>
    <w:rsid w:val="00920E5D"/>
    <w:rsid w:val="00921453"/>
    <w:rsid w:val="009219EB"/>
    <w:rsid w:val="00921C76"/>
    <w:rsid w:val="009224C3"/>
    <w:rsid w:val="0092274D"/>
    <w:rsid w:val="009229CC"/>
    <w:rsid w:val="00923C8D"/>
    <w:rsid w:val="00924940"/>
    <w:rsid w:val="00925894"/>
    <w:rsid w:val="00925998"/>
    <w:rsid w:val="00925AAA"/>
    <w:rsid w:val="00925D5F"/>
    <w:rsid w:val="009265B6"/>
    <w:rsid w:val="009266E1"/>
    <w:rsid w:val="009267E9"/>
    <w:rsid w:val="0092722D"/>
    <w:rsid w:val="009279B3"/>
    <w:rsid w:val="00927E78"/>
    <w:rsid w:val="00931086"/>
    <w:rsid w:val="00931381"/>
    <w:rsid w:val="009315AC"/>
    <w:rsid w:val="00931A88"/>
    <w:rsid w:val="00932580"/>
    <w:rsid w:val="00932D48"/>
    <w:rsid w:val="009347B2"/>
    <w:rsid w:val="009349E9"/>
    <w:rsid w:val="00934B65"/>
    <w:rsid w:val="00934F48"/>
    <w:rsid w:val="0093526A"/>
    <w:rsid w:val="009355A0"/>
    <w:rsid w:val="00935B8E"/>
    <w:rsid w:val="0093604E"/>
    <w:rsid w:val="009360D4"/>
    <w:rsid w:val="00936DA0"/>
    <w:rsid w:val="00937EC6"/>
    <w:rsid w:val="00940272"/>
    <w:rsid w:val="009402CE"/>
    <w:rsid w:val="0094069D"/>
    <w:rsid w:val="009413A2"/>
    <w:rsid w:val="00941447"/>
    <w:rsid w:val="00942148"/>
    <w:rsid w:val="00942417"/>
    <w:rsid w:val="0094276F"/>
    <w:rsid w:val="00942FA1"/>
    <w:rsid w:val="00943633"/>
    <w:rsid w:val="00943717"/>
    <w:rsid w:val="00944088"/>
    <w:rsid w:val="00944ADC"/>
    <w:rsid w:val="00945293"/>
    <w:rsid w:val="009459DB"/>
    <w:rsid w:val="00945D63"/>
    <w:rsid w:val="009470FD"/>
    <w:rsid w:val="00947369"/>
    <w:rsid w:val="009474A0"/>
    <w:rsid w:val="00947B3C"/>
    <w:rsid w:val="0095027A"/>
    <w:rsid w:val="00951A98"/>
    <w:rsid w:val="0095256D"/>
    <w:rsid w:val="00952765"/>
    <w:rsid w:val="0095283B"/>
    <w:rsid w:val="00952872"/>
    <w:rsid w:val="009530CB"/>
    <w:rsid w:val="009535CE"/>
    <w:rsid w:val="0095396B"/>
    <w:rsid w:val="00953C5B"/>
    <w:rsid w:val="009540D2"/>
    <w:rsid w:val="00954191"/>
    <w:rsid w:val="009552FA"/>
    <w:rsid w:val="009558FA"/>
    <w:rsid w:val="00955DE2"/>
    <w:rsid w:val="009575A5"/>
    <w:rsid w:val="00957AEB"/>
    <w:rsid w:val="00957D72"/>
    <w:rsid w:val="00957EAC"/>
    <w:rsid w:val="009601FC"/>
    <w:rsid w:val="0096192B"/>
    <w:rsid w:val="00962591"/>
    <w:rsid w:val="00962ED2"/>
    <w:rsid w:val="00962EF0"/>
    <w:rsid w:val="00963C75"/>
    <w:rsid w:val="00964818"/>
    <w:rsid w:val="00964FB5"/>
    <w:rsid w:val="00964FF3"/>
    <w:rsid w:val="0096518D"/>
    <w:rsid w:val="00965ACD"/>
    <w:rsid w:val="009668DF"/>
    <w:rsid w:val="00966CA1"/>
    <w:rsid w:val="00967AC5"/>
    <w:rsid w:val="0097040F"/>
    <w:rsid w:val="00970C8D"/>
    <w:rsid w:val="0097180D"/>
    <w:rsid w:val="00971ABB"/>
    <w:rsid w:val="00971B85"/>
    <w:rsid w:val="00972156"/>
    <w:rsid w:val="009729DE"/>
    <w:rsid w:val="00972D0E"/>
    <w:rsid w:val="009733B4"/>
    <w:rsid w:val="009733BB"/>
    <w:rsid w:val="00973EC8"/>
    <w:rsid w:val="0097473A"/>
    <w:rsid w:val="009748BA"/>
    <w:rsid w:val="00974D49"/>
    <w:rsid w:val="00974F30"/>
    <w:rsid w:val="0097547A"/>
    <w:rsid w:val="009757D8"/>
    <w:rsid w:val="00976491"/>
    <w:rsid w:val="0097693B"/>
    <w:rsid w:val="009773D2"/>
    <w:rsid w:val="00977426"/>
    <w:rsid w:val="00980487"/>
    <w:rsid w:val="00980C2E"/>
    <w:rsid w:val="00980C6A"/>
    <w:rsid w:val="00980D10"/>
    <w:rsid w:val="00981882"/>
    <w:rsid w:val="0098210F"/>
    <w:rsid w:val="009834FC"/>
    <w:rsid w:val="009835EE"/>
    <w:rsid w:val="00983856"/>
    <w:rsid w:val="00983E94"/>
    <w:rsid w:val="009840A0"/>
    <w:rsid w:val="009843DD"/>
    <w:rsid w:val="00984451"/>
    <w:rsid w:val="00984707"/>
    <w:rsid w:val="00984CE3"/>
    <w:rsid w:val="00984DC9"/>
    <w:rsid w:val="00984E7F"/>
    <w:rsid w:val="00984EC9"/>
    <w:rsid w:val="00985536"/>
    <w:rsid w:val="0098566B"/>
    <w:rsid w:val="0098627E"/>
    <w:rsid w:val="00986427"/>
    <w:rsid w:val="00986883"/>
    <w:rsid w:val="009869F6"/>
    <w:rsid w:val="00986A70"/>
    <w:rsid w:val="00987191"/>
    <w:rsid w:val="0098762D"/>
    <w:rsid w:val="00987811"/>
    <w:rsid w:val="00990496"/>
    <w:rsid w:val="00990E03"/>
    <w:rsid w:val="0099172A"/>
    <w:rsid w:val="00991C0E"/>
    <w:rsid w:val="00991DAF"/>
    <w:rsid w:val="00991F21"/>
    <w:rsid w:val="009921F7"/>
    <w:rsid w:val="00992B55"/>
    <w:rsid w:val="00992D20"/>
    <w:rsid w:val="00992FF8"/>
    <w:rsid w:val="009931FB"/>
    <w:rsid w:val="009936E2"/>
    <w:rsid w:val="0099387D"/>
    <w:rsid w:val="00993C33"/>
    <w:rsid w:val="00994066"/>
    <w:rsid w:val="00994162"/>
    <w:rsid w:val="00994366"/>
    <w:rsid w:val="00994486"/>
    <w:rsid w:val="0099465A"/>
    <w:rsid w:val="0099481E"/>
    <w:rsid w:val="00994971"/>
    <w:rsid w:val="00994977"/>
    <w:rsid w:val="0099514D"/>
    <w:rsid w:val="00995844"/>
    <w:rsid w:val="00995A23"/>
    <w:rsid w:val="00995B22"/>
    <w:rsid w:val="00995DB9"/>
    <w:rsid w:val="00995E3E"/>
    <w:rsid w:val="00996030"/>
    <w:rsid w:val="009961DC"/>
    <w:rsid w:val="0099649D"/>
    <w:rsid w:val="00997317"/>
    <w:rsid w:val="0099736F"/>
    <w:rsid w:val="00997F7C"/>
    <w:rsid w:val="009A0328"/>
    <w:rsid w:val="009A0452"/>
    <w:rsid w:val="009A0DCF"/>
    <w:rsid w:val="009A12D2"/>
    <w:rsid w:val="009A1E5B"/>
    <w:rsid w:val="009A1EC1"/>
    <w:rsid w:val="009A2402"/>
    <w:rsid w:val="009A2EB6"/>
    <w:rsid w:val="009A317F"/>
    <w:rsid w:val="009A3B6A"/>
    <w:rsid w:val="009A3F45"/>
    <w:rsid w:val="009A465B"/>
    <w:rsid w:val="009A4816"/>
    <w:rsid w:val="009A6493"/>
    <w:rsid w:val="009A6801"/>
    <w:rsid w:val="009A6A31"/>
    <w:rsid w:val="009A75D2"/>
    <w:rsid w:val="009A7B5B"/>
    <w:rsid w:val="009B0EAF"/>
    <w:rsid w:val="009B108C"/>
    <w:rsid w:val="009B133A"/>
    <w:rsid w:val="009B1B89"/>
    <w:rsid w:val="009B1E83"/>
    <w:rsid w:val="009B2A4F"/>
    <w:rsid w:val="009B2F4F"/>
    <w:rsid w:val="009B33CF"/>
    <w:rsid w:val="009B3563"/>
    <w:rsid w:val="009B46B6"/>
    <w:rsid w:val="009B48F6"/>
    <w:rsid w:val="009B4CD8"/>
    <w:rsid w:val="009B5044"/>
    <w:rsid w:val="009B55E6"/>
    <w:rsid w:val="009B5AB2"/>
    <w:rsid w:val="009B5C25"/>
    <w:rsid w:val="009B60E9"/>
    <w:rsid w:val="009B6FF6"/>
    <w:rsid w:val="009B7DD1"/>
    <w:rsid w:val="009B7F03"/>
    <w:rsid w:val="009C018E"/>
    <w:rsid w:val="009C04CC"/>
    <w:rsid w:val="009C0D4A"/>
    <w:rsid w:val="009C13F5"/>
    <w:rsid w:val="009C1491"/>
    <w:rsid w:val="009C18AC"/>
    <w:rsid w:val="009C2271"/>
    <w:rsid w:val="009C2A57"/>
    <w:rsid w:val="009C372D"/>
    <w:rsid w:val="009C41FD"/>
    <w:rsid w:val="009C4910"/>
    <w:rsid w:val="009C4ED3"/>
    <w:rsid w:val="009C52EE"/>
    <w:rsid w:val="009C67B3"/>
    <w:rsid w:val="009C6E42"/>
    <w:rsid w:val="009C7D25"/>
    <w:rsid w:val="009D01FC"/>
    <w:rsid w:val="009D06D8"/>
    <w:rsid w:val="009D1410"/>
    <w:rsid w:val="009D1823"/>
    <w:rsid w:val="009D1B95"/>
    <w:rsid w:val="009D1CE1"/>
    <w:rsid w:val="009D2215"/>
    <w:rsid w:val="009D249A"/>
    <w:rsid w:val="009D29CE"/>
    <w:rsid w:val="009D2BB3"/>
    <w:rsid w:val="009D3FC5"/>
    <w:rsid w:val="009D4958"/>
    <w:rsid w:val="009D55A5"/>
    <w:rsid w:val="009D63BA"/>
    <w:rsid w:val="009D6A7F"/>
    <w:rsid w:val="009D6E93"/>
    <w:rsid w:val="009D7E3C"/>
    <w:rsid w:val="009E0068"/>
    <w:rsid w:val="009E04B6"/>
    <w:rsid w:val="009E07E4"/>
    <w:rsid w:val="009E151B"/>
    <w:rsid w:val="009E15C5"/>
    <w:rsid w:val="009E1B24"/>
    <w:rsid w:val="009E1C9F"/>
    <w:rsid w:val="009E1E5A"/>
    <w:rsid w:val="009E2C6E"/>
    <w:rsid w:val="009E309D"/>
    <w:rsid w:val="009E30D8"/>
    <w:rsid w:val="009E3771"/>
    <w:rsid w:val="009E3778"/>
    <w:rsid w:val="009E3FCC"/>
    <w:rsid w:val="009E4012"/>
    <w:rsid w:val="009E405D"/>
    <w:rsid w:val="009E4889"/>
    <w:rsid w:val="009E4A04"/>
    <w:rsid w:val="009E4CC2"/>
    <w:rsid w:val="009E4EBF"/>
    <w:rsid w:val="009E4F62"/>
    <w:rsid w:val="009E5BB3"/>
    <w:rsid w:val="009E5BF2"/>
    <w:rsid w:val="009E5CBC"/>
    <w:rsid w:val="009E6114"/>
    <w:rsid w:val="009E613C"/>
    <w:rsid w:val="009E62ED"/>
    <w:rsid w:val="009E6448"/>
    <w:rsid w:val="009E68B9"/>
    <w:rsid w:val="009E705D"/>
    <w:rsid w:val="009E7228"/>
    <w:rsid w:val="009E76F7"/>
    <w:rsid w:val="009E7BBB"/>
    <w:rsid w:val="009F0225"/>
    <w:rsid w:val="009F10E8"/>
    <w:rsid w:val="009F19A6"/>
    <w:rsid w:val="009F1BE4"/>
    <w:rsid w:val="009F24BC"/>
    <w:rsid w:val="009F27F4"/>
    <w:rsid w:val="009F28BD"/>
    <w:rsid w:val="009F2F83"/>
    <w:rsid w:val="009F313F"/>
    <w:rsid w:val="009F3859"/>
    <w:rsid w:val="009F4ED5"/>
    <w:rsid w:val="009F5216"/>
    <w:rsid w:val="009F53DB"/>
    <w:rsid w:val="009F588E"/>
    <w:rsid w:val="009F5C78"/>
    <w:rsid w:val="009F6535"/>
    <w:rsid w:val="009F6960"/>
    <w:rsid w:val="009F711A"/>
    <w:rsid w:val="009F7264"/>
    <w:rsid w:val="009F7468"/>
    <w:rsid w:val="009F7E1A"/>
    <w:rsid w:val="009F7E92"/>
    <w:rsid w:val="00A0057D"/>
    <w:rsid w:val="00A006DD"/>
    <w:rsid w:val="00A0095E"/>
    <w:rsid w:val="00A00E48"/>
    <w:rsid w:val="00A0151B"/>
    <w:rsid w:val="00A01B2D"/>
    <w:rsid w:val="00A0211F"/>
    <w:rsid w:val="00A025AE"/>
    <w:rsid w:val="00A02A6E"/>
    <w:rsid w:val="00A02DA2"/>
    <w:rsid w:val="00A045AC"/>
    <w:rsid w:val="00A049A4"/>
    <w:rsid w:val="00A04B14"/>
    <w:rsid w:val="00A0515E"/>
    <w:rsid w:val="00A05908"/>
    <w:rsid w:val="00A05A40"/>
    <w:rsid w:val="00A05B5B"/>
    <w:rsid w:val="00A05E86"/>
    <w:rsid w:val="00A067C0"/>
    <w:rsid w:val="00A0691F"/>
    <w:rsid w:val="00A069A3"/>
    <w:rsid w:val="00A06A77"/>
    <w:rsid w:val="00A07268"/>
    <w:rsid w:val="00A07ABB"/>
    <w:rsid w:val="00A07E62"/>
    <w:rsid w:val="00A104DD"/>
    <w:rsid w:val="00A10716"/>
    <w:rsid w:val="00A10C20"/>
    <w:rsid w:val="00A110CB"/>
    <w:rsid w:val="00A11461"/>
    <w:rsid w:val="00A12041"/>
    <w:rsid w:val="00A124E8"/>
    <w:rsid w:val="00A12A75"/>
    <w:rsid w:val="00A13254"/>
    <w:rsid w:val="00A13F6A"/>
    <w:rsid w:val="00A14A3F"/>
    <w:rsid w:val="00A14D1B"/>
    <w:rsid w:val="00A1513E"/>
    <w:rsid w:val="00A15360"/>
    <w:rsid w:val="00A1560B"/>
    <w:rsid w:val="00A15F20"/>
    <w:rsid w:val="00A167A7"/>
    <w:rsid w:val="00A1705B"/>
    <w:rsid w:val="00A17C29"/>
    <w:rsid w:val="00A20054"/>
    <w:rsid w:val="00A21414"/>
    <w:rsid w:val="00A21540"/>
    <w:rsid w:val="00A22274"/>
    <w:rsid w:val="00A224B9"/>
    <w:rsid w:val="00A227AF"/>
    <w:rsid w:val="00A230C9"/>
    <w:rsid w:val="00A23317"/>
    <w:rsid w:val="00A23465"/>
    <w:rsid w:val="00A2398C"/>
    <w:rsid w:val="00A23C56"/>
    <w:rsid w:val="00A23CFD"/>
    <w:rsid w:val="00A23D3D"/>
    <w:rsid w:val="00A23DA0"/>
    <w:rsid w:val="00A245C1"/>
    <w:rsid w:val="00A2482E"/>
    <w:rsid w:val="00A24D30"/>
    <w:rsid w:val="00A25B0E"/>
    <w:rsid w:val="00A25B70"/>
    <w:rsid w:val="00A25D23"/>
    <w:rsid w:val="00A263AD"/>
    <w:rsid w:val="00A264BD"/>
    <w:rsid w:val="00A264E3"/>
    <w:rsid w:val="00A26635"/>
    <w:rsid w:val="00A27052"/>
    <w:rsid w:val="00A273DD"/>
    <w:rsid w:val="00A278DB"/>
    <w:rsid w:val="00A27E14"/>
    <w:rsid w:val="00A30245"/>
    <w:rsid w:val="00A30289"/>
    <w:rsid w:val="00A3041C"/>
    <w:rsid w:val="00A308DD"/>
    <w:rsid w:val="00A30EF1"/>
    <w:rsid w:val="00A31038"/>
    <w:rsid w:val="00A31628"/>
    <w:rsid w:val="00A31829"/>
    <w:rsid w:val="00A31C35"/>
    <w:rsid w:val="00A31C5C"/>
    <w:rsid w:val="00A32D50"/>
    <w:rsid w:val="00A33A69"/>
    <w:rsid w:val="00A33B85"/>
    <w:rsid w:val="00A33CCD"/>
    <w:rsid w:val="00A33FF3"/>
    <w:rsid w:val="00A34240"/>
    <w:rsid w:val="00A34478"/>
    <w:rsid w:val="00A35A3B"/>
    <w:rsid w:val="00A35C4C"/>
    <w:rsid w:val="00A35EDF"/>
    <w:rsid w:val="00A3644F"/>
    <w:rsid w:val="00A36BD1"/>
    <w:rsid w:val="00A36D82"/>
    <w:rsid w:val="00A36FF3"/>
    <w:rsid w:val="00A372BD"/>
    <w:rsid w:val="00A37DD2"/>
    <w:rsid w:val="00A402AE"/>
    <w:rsid w:val="00A403C9"/>
    <w:rsid w:val="00A40522"/>
    <w:rsid w:val="00A4091E"/>
    <w:rsid w:val="00A414EB"/>
    <w:rsid w:val="00A41726"/>
    <w:rsid w:val="00A422D7"/>
    <w:rsid w:val="00A42827"/>
    <w:rsid w:val="00A42DD2"/>
    <w:rsid w:val="00A42DD5"/>
    <w:rsid w:val="00A42F5C"/>
    <w:rsid w:val="00A4304F"/>
    <w:rsid w:val="00A43303"/>
    <w:rsid w:val="00A43625"/>
    <w:rsid w:val="00A441A6"/>
    <w:rsid w:val="00A4452C"/>
    <w:rsid w:val="00A44683"/>
    <w:rsid w:val="00A44697"/>
    <w:rsid w:val="00A45336"/>
    <w:rsid w:val="00A4557A"/>
    <w:rsid w:val="00A45FC7"/>
    <w:rsid w:val="00A46AD3"/>
    <w:rsid w:val="00A472BC"/>
    <w:rsid w:val="00A4753B"/>
    <w:rsid w:val="00A4765F"/>
    <w:rsid w:val="00A47CFC"/>
    <w:rsid w:val="00A5076B"/>
    <w:rsid w:val="00A50B79"/>
    <w:rsid w:val="00A50D3A"/>
    <w:rsid w:val="00A50F52"/>
    <w:rsid w:val="00A51558"/>
    <w:rsid w:val="00A5161D"/>
    <w:rsid w:val="00A516D6"/>
    <w:rsid w:val="00A516E9"/>
    <w:rsid w:val="00A52584"/>
    <w:rsid w:val="00A527A7"/>
    <w:rsid w:val="00A52F3C"/>
    <w:rsid w:val="00A5305C"/>
    <w:rsid w:val="00A5338A"/>
    <w:rsid w:val="00A5351C"/>
    <w:rsid w:val="00A539D6"/>
    <w:rsid w:val="00A53A0A"/>
    <w:rsid w:val="00A53B65"/>
    <w:rsid w:val="00A53EFB"/>
    <w:rsid w:val="00A54256"/>
    <w:rsid w:val="00A54362"/>
    <w:rsid w:val="00A544B2"/>
    <w:rsid w:val="00A5482B"/>
    <w:rsid w:val="00A55169"/>
    <w:rsid w:val="00A55A47"/>
    <w:rsid w:val="00A55B42"/>
    <w:rsid w:val="00A56DA2"/>
    <w:rsid w:val="00A5738C"/>
    <w:rsid w:val="00A57638"/>
    <w:rsid w:val="00A57D64"/>
    <w:rsid w:val="00A57DCB"/>
    <w:rsid w:val="00A603FE"/>
    <w:rsid w:val="00A608A8"/>
    <w:rsid w:val="00A6110A"/>
    <w:rsid w:val="00A6162A"/>
    <w:rsid w:val="00A61923"/>
    <w:rsid w:val="00A628B5"/>
    <w:rsid w:val="00A629F4"/>
    <w:rsid w:val="00A62B17"/>
    <w:rsid w:val="00A63252"/>
    <w:rsid w:val="00A6352C"/>
    <w:rsid w:val="00A6375F"/>
    <w:rsid w:val="00A63A38"/>
    <w:rsid w:val="00A64206"/>
    <w:rsid w:val="00A64418"/>
    <w:rsid w:val="00A64505"/>
    <w:rsid w:val="00A64508"/>
    <w:rsid w:val="00A64EA0"/>
    <w:rsid w:val="00A652E5"/>
    <w:rsid w:val="00A658D8"/>
    <w:rsid w:val="00A65F25"/>
    <w:rsid w:val="00A660F2"/>
    <w:rsid w:val="00A66779"/>
    <w:rsid w:val="00A66B65"/>
    <w:rsid w:val="00A66DC7"/>
    <w:rsid w:val="00A67246"/>
    <w:rsid w:val="00A678AB"/>
    <w:rsid w:val="00A67946"/>
    <w:rsid w:val="00A7243B"/>
    <w:rsid w:val="00A72F0F"/>
    <w:rsid w:val="00A732B4"/>
    <w:rsid w:val="00A73337"/>
    <w:rsid w:val="00A73CDE"/>
    <w:rsid w:val="00A73EC4"/>
    <w:rsid w:val="00A74D28"/>
    <w:rsid w:val="00A74F49"/>
    <w:rsid w:val="00A751F1"/>
    <w:rsid w:val="00A7580B"/>
    <w:rsid w:val="00A75D14"/>
    <w:rsid w:val="00A75D9E"/>
    <w:rsid w:val="00A77AE7"/>
    <w:rsid w:val="00A801F2"/>
    <w:rsid w:val="00A805FD"/>
    <w:rsid w:val="00A80D48"/>
    <w:rsid w:val="00A80F1E"/>
    <w:rsid w:val="00A81463"/>
    <w:rsid w:val="00A814BD"/>
    <w:rsid w:val="00A82416"/>
    <w:rsid w:val="00A8292C"/>
    <w:rsid w:val="00A830D3"/>
    <w:rsid w:val="00A8405B"/>
    <w:rsid w:val="00A84D07"/>
    <w:rsid w:val="00A850E5"/>
    <w:rsid w:val="00A85878"/>
    <w:rsid w:val="00A85A4B"/>
    <w:rsid w:val="00A85C1E"/>
    <w:rsid w:val="00A8636A"/>
    <w:rsid w:val="00A86A94"/>
    <w:rsid w:val="00A86AAE"/>
    <w:rsid w:val="00A86D75"/>
    <w:rsid w:val="00A86FB2"/>
    <w:rsid w:val="00A87517"/>
    <w:rsid w:val="00A8790E"/>
    <w:rsid w:val="00A87C4A"/>
    <w:rsid w:val="00A87D7C"/>
    <w:rsid w:val="00A87E5E"/>
    <w:rsid w:val="00A90F45"/>
    <w:rsid w:val="00A91010"/>
    <w:rsid w:val="00A915FB"/>
    <w:rsid w:val="00A91950"/>
    <w:rsid w:val="00A91B4B"/>
    <w:rsid w:val="00A935BC"/>
    <w:rsid w:val="00A938F5"/>
    <w:rsid w:val="00A93941"/>
    <w:rsid w:val="00A93C0B"/>
    <w:rsid w:val="00A9425A"/>
    <w:rsid w:val="00A9434F"/>
    <w:rsid w:val="00A94484"/>
    <w:rsid w:val="00A94628"/>
    <w:rsid w:val="00A94B01"/>
    <w:rsid w:val="00A95105"/>
    <w:rsid w:val="00A95190"/>
    <w:rsid w:val="00A957D4"/>
    <w:rsid w:val="00A959A3"/>
    <w:rsid w:val="00A96029"/>
    <w:rsid w:val="00A961C6"/>
    <w:rsid w:val="00A96208"/>
    <w:rsid w:val="00A962AB"/>
    <w:rsid w:val="00A96558"/>
    <w:rsid w:val="00A96806"/>
    <w:rsid w:val="00A96A96"/>
    <w:rsid w:val="00A96C86"/>
    <w:rsid w:val="00A97363"/>
    <w:rsid w:val="00AA0C7E"/>
    <w:rsid w:val="00AA1B2C"/>
    <w:rsid w:val="00AA27EA"/>
    <w:rsid w:val="00AA2E3B"/>
    <w:rsid w:val="00AA2E5A"/>
    <w:rsid w:val="00AA3311"/>
    <w:rsid w:val="00AA4199"/>
    <w:rsid w:val="00AA424D"/>
    <w:rsid w:val="00AA4470"/>
    <w:rsid w:val="00AA45E7"/>
    <w:rsid w:val="00AA535F"/>
    <w:rsid w:val="00AA5CD1"/>
    <w:rsid w:val="00AA5FF6"/>
    <w:rsid w:val="00AA60C9"/>
    <w:rsid w:val="00AA624C"/>
    <w:rsid w:val="00AA7839"/>
    <w:rsid w:val="00AA7C5A"/>
    <w:rsid w:val="00AA7F97"/>
    <w:rsid w:val="00AB0108"/>
    <w:rsid w:val="00AB02D9"/>
    <w:rsid w:val="00AB0441"/>
    <w:rsid w:val="00AB0B9D"/>
    <w:rsid w:val="00AB1069"/>
    <w:rsid w:val="00AB14BB"/>
    <w:rsid w:val="00AB2567"/>
    <w:rsid w:val="00AB3150"/>
    <w:rsid w:val="00AB316D"/>
    <w:rsid w:val="00AB3334"/>
    <w:rsid w:val="00AB37DA"/>
    <w:rsid w:val="00AB4E4A"/>
    <w:rsid w:val="00AB6078"/>
    <w:rsid w:val="00AB63F2"/>
    <w:rsid w:val="00AB640C"/>
    <w:rsid w:val="00AB6678"/>
    <w:rsid w:val="00AB7571"/>
    <w:rsid w:val="00AB7D1F"/>
    <w:rsid w:val="00AB7E17"/>
    <w:rsid w:val="00AC053C"/>
    <w:rsid w:val="00AC08B3"/>
    <w:rsid w:val="00AC0946"/>
    <w:rsid w:val="00AC0D61"/>
    <w:rsid w:val="00AC1333"/>
    <w:rsid w:val="00AC1D64"/>
    <w:rsid w:val="00AC23BD"/>
    <w:rsid w:val="00AC2ACF"/>
    <w:rsid w:val="00AC2BBC"/>
    <w:rsid w:val="00AC2E68"/>
    <w:rsid w:val="00AC35C2"/>
    <w:rsid w:val="00AC35C4"/>
    <w:rsid w:val="00AC3709"/>
    <w:rsid w:val="00AC3A88"/>
    <w:rsid w:val="00AC401A"/>
    <w:rsid w:val="00AC415E"/>
    <w:rsid w:val="00AC4930"/>
    <w:rsid w:val="00AC4A72"/>
    <w:rsid w:val="00AC4DA4"/>
    <w:rsid w:val="00AC54BE"/>
    <w:rsid w:val="00AC56BC"/>
    <w:rsid w:val="00AC613D"/>
    <w:rsid w:val="00AC6324"/>
    <w:rsid w:val="00AC643C"/>
    <w:rsid w:val="00AC66FE"/>
    <w:rsid w:val="00AC6913"/>
    <w:rsid w:val="00AC779A"/>
    <w:rsid w:val="00AC7AF8"/>
    <w:rsid w:val="00AC7F53"/>
    <w:rsid w:val="00AD000B"/>
    <w:rsid w:val="00AD08AE"/>
    <w:rsid w:val="00AD09BD"/>
    <w:rsid w:val="00AD1295"/>
    <w:rsid w:val="00AD2777"/>
    <w:rsid w:val="00AD2810"/>
    <w:rsid w:val="00AD2CA0"/>
    <w:rsid w:val="00AD4702"/>
    <w:rsid w:val="00AD4CAD"/>
    <w:rsid w:val="00AD5204"/>
    <w:rsid w:val="00AD55C3"/>
    <w:rsid w:val="00AD57DD"/>
    <w:rsid w:val="00AD58BB"/>
    <w:rsid w:val="00AD5947"/>
    <w:rsid w:val="00AD5D72"/>
    <w:rsid w:val="00AD65F3"/>
    <w:rsid w:val="00AD6F48"/>
    <w:rsid w:val="00AD76D3"/>
    <w:rsid w:val="00AD7C99"/>
    <w:rsid w:val="00AD7FFB"/>
    <w:rsid w:val="00AE00C9"/>
    <w:rsid w:val="00AE08FD"/>
    <w:rsid w:val="00AE1321"/>
    <w:rsid w:val="00AE1470"/>
    <w:rsid w:val="00AE1514"/>
    <w:rsid w:val="00AE15D0"/>
    <w:rsid w:val="00AE2B2A"/>
    <w:rsid w:val="00AE2D89"/>
    <w:rsid w:val="00AE31BD"/>
    <w:rsid w:val="00AE4372"/>
    <w:rsid w:val="00AE438C"/>
    <w:rsid w:val="00AE46D0"/>
    <w:rsid w:val="00AE5411"/>
    <w:rsid w:val="00AE561D"/>
    <w:rsid w:val="00AE59B2"/>
    <w:rsid w:val="00AE5F5A"/>
    <w:rsid w:val="00AE6010"/>
    <w:rsid w:val="00AE60D4"/>
    <w:rsid w:val="00AE67D5"/>
    <w:rsid w:val="00AE7147"/>
    <w:rsid w:val="00AE7937"/>
    <w:rsid w:val="00AF003D"/>
    <w:rsid w:val="00AF0361"/>
    <w:rsid w:val="00AF05C9"/>
    <w:rsid w:val="00AF09C2"/>
    <w:rsid w:val="00AF10E8"/>
    <w:rsid w:val="00AF1679"/>
    <w:rsid w:val="00AF1E84"/>
    <w:rsid w:val="00AF21AD"/>
    <w:rsid w:val="00AF25BF"/>
    <w:rsid w:val="00AF3318"/>
    <w:rsid w:val="00AF34D0"/>
    <w:rsid w:val="00AF38D8"/>
    <w:rsid w:val="00AF391B"/>
    <w:rsid w:val="00AF4405"/>
    <w:rsid w:val="00AF4431"/>
    <w:rsid w:val="00AF4D54"/>
    <w:rsid w:val="00AF4D82"/>
    <w:rsid w:val="00AF542F"/>
    <w:rsid w:val="00AF5820"/>
    <w:rsid w:val="00AF5D35"/>
    <w:rsid w:val="00AF6267"/>
    <w:rsid w:val="00AF6AF1"/>
    <w:rsid w:val="00AF7684"/>
    <w:rsid w:val="00AF7E8F"/>
    <w:rsid w:val="00B0009C"/>
    <w:rsid w:val="00B00118"/>
    <w:rsid w:val="00B00707"/>
    <w:rsid w:val="00B00D58"/>
    <w:rsid w:val="00B01059"/>
    <w:rsid w:val="00B014E0"/>
    <w:rsid w:val="00B01604"/>
    <w:rsid w:val="00B016A5"/>
    <w:rsid w:val="00B01B59"/>
    <w:rsid w:val="00B01F11"/>
    <w:rsid w:val="00B0204F"/>
    <w:rsid w:val="00B02E7B"/>
    <w:rsid w:val="00B02EA9"/>
    <w:rsid w:val="00B03211"/>
    <w:rsid w:val="00B03A9B"/>
    <w:rsid w:val="00B046F5"/>
    <w:rsid w:val="00B047C3"/>
    <w:rsid w:val="00B047CF"/>
    <w:rsid w:val="00B04BB4"/>
    <w:rsid w:val="00B05794"/>
    <w:rsid w:val="00B05911"/>
    <w:rsid w:val="00B0597C"/>
    <w:rsid w:val="00B05BD8"/>
    <w:rsid w:val="00B05C85"/>
    <w:rsid w:val="00B065FC"/>
    <w:rsid w:val="00B0666F"/>
    <w:rsid w:val="00B06918"/>
    <w:rsid w:val="00B06930"/>
    <w:rsid w:val="00B06C94"/>
    <w:rsid w:val="00B06EEE"/>
    <w:rsid w:val="00B06F07"/>
    <w:rsid w:val="00B07B85"/>
    <w:rsid w:val="00B07BA2"/>
    <w:rsid w:val="00B101B5"/>
    <w:rsid w:val="00B1020F"/>
    <w:rsid w:val="00B10585"/>
    <w:rsid w:val="00B107B8"/>
    <w:rsid w:val="00B10C05"/>
    <w:rsid w:val="00B114E4"/>
    <w:rsid w:val="00B11AD1"/>
    <w:rsid w:val="00B12727"/>
    <w:rsid w:val="00B127EF"/>
    <w:rsid w:val="00B12E19"/>
    <w:rsid w:val="00B12F9A"/>
    <w:rsid w:val="00B13604"/>
    <w:rsid w:val="00B14578"/>
    <w:rsid w:val="00B146B7"/>
    <w:rsid w:val="00B14712"/>
    <w:rsid w:val="00B148AF"/>
    <w:rsid w:val="00B14970"/>
    <w:rsid w:val="00B149C5"/>
    <w:rsid w:val="00B14D26"/>
    <w:rsid w:val="00B158FC"/>
    <w:rsid w:val="00B15D38"/>
    <w:rsid w:val="00B15DF9"/>
    <w:rsid w:val="00B15F49"/>
    <w:rsid w:val="00B15F52"/>
    <w:rsid w:val="00B16438"/>
    <w:rsid w:val="00B165D5"/>
    <w:rsid w:val="00B16953"/>
    <w:rsid w:val="00B16A4F"/>
    <w:rsid w:val="00B16B0D"/>
    <w:rsid w:val="00B16BFC"/>
    <w:rsid w:val="00B174BE"/>
    <w:rsid w:val="00B17729"/>
    <w:rsid w:val="00B179BA"/>
    <w:rsid w:val="00B17D32"/>
    <w:rsid w:val="00B17DC8"/>
    <w:rsid w:val="00B20139"/>
    <w:rsid w:val="00B20577"/>
    <w:rsid w:val="00B20B64"/>
    <w:rsid w:val="00B20BA9"/>
    <w:rsid w:val="00B20EE3"/>
    <w:rsid w:val="00B2154C"/>
    <w:rsid w:val="00B21596"/>
    <w:rsid w:val="00B215D2"/>
    <w:rsid w:val="00B219F1"/>
    <w:rsid w:val="00B21D40"/>
    <w:rsid w:val="00B21FC9"/>
    <w:rsid w:val="00B224FD"/>
    <w:rsid w:val="00B22C61"/>
    <w:rsid w:val="00B238A5"/>
    <w:rsid w:val="00B2477D"/>
    <w:rsid w:val="00B252AE"/>
    <w:rsid w:val="00B253BC"/>
    <w:rsid w:val="00B25DEC"/>
    <w:rsid w:val="00B26472"/>
    <w:rsid w:val="00B26707"/>
    <w:rsid w:val="00B26A32"/>
    <w:rsid w:val="00B26A59"/>
    <w:rsid w:val="00B26B99"/>
    <w:rsid w:val="00B27196"/>
    <w:rsid w:val="00B27D49"/>
    <w:rsid w:val="00B27F4F"/>
    <w:rsid w:val="00B30113"/>
    <w:rsid w:val="00B30288"/>
    <w:rsid w:val="00B30EA3"/>
    <w:rsid w:val="00B31E3F"/>
    <w:rsid w:val="00B33062"/>
    <w:rsid w:val="00B33824"/>
    <w:rsid w:val="00B33881"/>
    <w:rsid w:val="00B33DBB"/>
    <w:rsid w:val="00B33FA1"/>
    <w:rsid w:val="00B3465E"/>
    <w:rsid w:val="00B34902"/>
    <w:rsid w:val="00B34BA3"/>
    <w:rsid w:val="00B34C6F"/>
    <w:rsid w:val="00B35534"/>
    <w:rsid w:val="00B359E7"/>
    <w:rsid w:val="00B35D0F"/>
    <w:rsid w:val="00B364D0"/>
    <w:rsid w:val="00B36FB0"/>
    <w:rsid w:val="00B3704A"/>
    <w:rsid w:val="00B370F0"/>
    <w:rsid w:val="00B37569"/>
    <w:rsid w:val="00B377D7"/>
    <w:rsid w:val="00B37A28"/>
    <w:rsid w:val="00B37DF4"/>
    <w:rsid w:val="00B400F3"/>
    <w:rsid w:val="00B401E9"/>
    <w:rsid w:val="00B406DC"/>
    <w:rsid w:val="00B40CD2"/>
    <w:rsid w:val="00B40D17"/>
    <w:rsid w:val="00B40DB8"/>
    <w:rsid w:val="00B4160B"/>
    <w:rsid w:val="00B4162D"/>
    <w:rsid w:val="00B41943"/>
    <w:rsid w:val="00B41C5E"/>
    <w:rsid w:val="00B43115"/>
    <w:rsid w:val="00B433C5"/>
    <w:rsid w:val="00B43414"/>
    <w:rsid w:val="00B4357B"/>
    <w:rsid w:val="00B440C2"/>
    <w:rsid w:val="00B44A1A"/>
    <w:rsid w:val="00B45E53"/>
    <w:rsid w:val="00B465A7"/>
    <w:rsid w:val="00B4672B"/>
    <w:rsid w:val="00B4771A"/>
    <w:rsid w:val="00B47DFB"/>
    <w:rsid w:val="00B50174"/>
    <w:rsid w:val="00B5022F"/>
    <w:rsid w:val="00B50329"/>
    <w:rsid w:val="00B50D4F"/>
    <w:rsid w:val="00B512D5"/>
    <w:rsid w:val="00B51BC2"/>
    <w:rsid w:val="00B52543"/>
    <w:rsid w:val="00B52AEB"/>
    <w:rsid w:val="00B533D9"/>
    <w:rsid w:val="00B53432"/>
    <w:rsid w:val="00B535E7"/>
    <w:rsid w:val="00B53E91"/>
    <w:rsid w:val="00B53EC6"/>
    <w:rsid w:val="00B54323"/>
    <w:rsid w:val="00B54364"/>
    <w:rsid w:val="00B54636"/>
    <w:rsid w:val="00B547BD"/>
    <w:rsid w:val="00B5487F"/>
    <w:rsid w:val="00B54F55"/>
    <w:rsid w:val="00B55032"/>
    <w:rsid w:val="00B5518B"/>
    <w:rsid w:val="00B551B9"/>
    <w:rsid w:val="00B551F3"/>
    <w:rsid w:val="00B55272"/>
    <w:rsid w:val="00B554D4"/>
    <w:rsid w:val="00B55B3A"/>
    <w:rsid w:val="00B567F1"/>
    <w:rsid w:val="00B56819"/>
    <w:rsid w:val="00B569E6"/>
    <w:rsid w:val="00B576B9"/>
    <w:rsid w:val="00B57773"/>
    <w:rsid w:val="00B57CC0"/>
    <w:rsid w:val="00B604C3"/>
    <w:rsid w:val="00B60819"/>
    <w:rsid w:val="00B60E02"/>
    <w:rsid w:val="00B60EF3"/>
    <w:rsid w:val="00B61AE2"/>
    <w:rsid w:val="00B61E66"/>
    <w:rsid w:val="00B61FB9"/>
    <w:rsid w:val="00B62343"/>
    <w:rsid w:val="00B64565"/>
    <w:rsid w:val="00B6468F"/>
    <w:rsid w:val="00B64EA2"/>
    <w:rsid w:val="00B65482"/>
    <w:rsid w:val="00B661A6"/>
    <w:rsid w:val="00B66898"/>
    <w:rsid w:val="00B669CD"/>
    <w:rsid w:val="00B66C64"/>
    <w:rsid w:val="00B66C97"/>
    <w:rsid w:val="00B67550"/>
    <w:rsid w:val="00B67815"/>
    <w:rsid w:val="00B70753"/>
    <w:rsid w:val="00B70BB2"/>
    <w:rsid w:val="00B7128C"/>
    <w:rsid w:val="00B71315"/>
    <w:rsid w:val="00B71519"/>
    <w:rsid w:val="00B715D8"/>
    <w:rsid w:val="00B71A16"/>
    <w:rsid w:val="00B71E62"/>
    <w:rsid w:val="00B729B2"/>
    <w:rsid w:val="00B72A4D"/>
    <w:rsid w:val="00B732B4"/>
    <w:rsid w:val="00B73584"/>
    <w:rsid w:val="00B735E2"/>
    <w:rsid w:val="00B73B16"/>
    <w:rsid w:val="00B73B1D"/>
    <w:rsid w:val="00B74ECF"/>
    <w:rsid w:val="00B74F4B"/>
    <w:rsid w:val="00B755CF"/>
    <w:rsid w:val="00B7597E"/>
    <w:rsid w:val="00B75D8B"/>
    <w:rsid w:val="00B75DAF"/>
    <w:rsid w:val="00B75E3C"/>
    <w:rsid w:val="00B761B7"/>
    <w:rsid w:val="00B767C2"/>
    <w:rsid w:val="00B76C37"/>
    <w:rsid w:val="00B76C4B"/>
    <w:rsid w:val="00B775A2"/>
    <w:rsid w:val="00B801D4"/>
    <w:rsid w:val="00B80342"/>
    <w:rsid w:val="00B805CE"/>
    <w:rsid w:val="00B8091E"/>
    <w:rsid w:val="00B8112D"/>
    <w:rsid w:val="00B811C7"/>
    <w:rsid w:val="00B81994"/>
    <w:rsid w:val="00B81B80"/>
    <w:rsid w:val="00B81E73"/>
    <w:rsid w:val="00B825DC"/>
    <w:rsid w:val="00B82899"/>
    <w:rsid w:val="00B83866"/>
    <w:rsid w:val="00B83C4F"/>
    <w:rsid w:val="00B83D2A"/>
    <w:rsid w:val="00B84446"/>
    <w:rsid w:val="00B84540"/>
    <w:rsid w:val="00B8494D"/>
    <w:rsid w:val="00B84ACA"/>
    <w:rsid w:val="00B84FF3"/>
    <w:rsid w:val="00B85163"/>
    <w:rsid w:val="00B85169"/>
    <w:rsid w:val="00B855BC"/>
    <w:rsid w:val="00B8600B"/>
    <w:rsid w:val="00B863B8"/>
    <w:rsid w:val="00B86495"/>
    <w:rsid w:val="00B867F9"/>
    <w:rsid w:val="00B86ED7"/>
    <w:rsid w:val="00B86F4D"/>
    <w:rsid w:val="00B8704E"/>
    <w:rsid w:val="00B876F8"/>
    <w:rsid w:val="00B879EA"/>
    <w:rsid w:val="00B87AAA"/>
    <w:rsid w:val="00B87FD9"/>
    <w:rsid w:val="00B9003C"/>
    <w:rsid w:val="00B90075"/>
    <w:rsid w:val="00B90296"/>
    <w:rsid w:val="00B90319"/>
    <w:rsid w:val="00B9031D"/>
    <w:rsid w:val="00B90EE7"/>
    <w:rsid w:val="00B91952"/>
    <w:rsid w:val="00B91C72"/>
    <w:rsid w:val="00B92CA5"/>
    <w:rsid w:val="00B92CF2"/>
    <w:rsid w:val="00B92E5D"/>
    <w:rsid w:val="00B931EA"/>
    <w:rsid w:val="00B935F9"/>
    <w:rsid w:val="00B9368A"/>
    <w:rsid w:val="00B9399B"/>
    <w:rsid w:val="00B940F5"/>
    <w:rsid w:val="00B9412A"/>
    <w:rsid w:val="00B941A6"/>
    <w:rsid w:val="00B943BA"/>
    <w:rsid w:val="00B944D2"/>
    <w:rsid w:val="00B94706"/>
    <w:rsid w:val="00B94E2A"/>
    <w:rsid w:val="00B953CD"/>
    <w:rsid w:val="00B95517"/>
    <w:rsid w:val="00B95842"/>
    <w:rsid w:val="00B96601"/>
    <w:rsid w:val="00B96831"/>
    <w:rsid w:val="00B97136"/>
    <w:rsid w:val="00B97392"/>
    <w:rsid w:val="00B97FAD"/>
    <w:rsid w:val="00BA05B6"/>
    <w:rsid w:val="00BA05CB"/>
    <w:rsid w:val="00BA06AE"/>
    <w:rsid w:val="00BA0B20"/>
    <w:rsid w:val="00BA0CEA"/>
    <w:rsid w:val="00BA0F58"/>
    <w:rsid w:val="00BA11C5"/>
    <w:rsid w:val="00BA160B"/>
    <w:rsid w:val="00BA1EA7"/>
    <w:rsid w:val="00BA2213"/>
    <w:rsid w:val="00BA23E3"/>
    <w:rsid w:val="00BA243B"/>
    <w:rsid w:val="00BA31E6"/>
    <w:rsid w:val="00BA34E9"/>
    <w:rsid w:val="00BA37F3"/>
    <w:rsid w:val="00BA3C4D"/>
    <w:rsid w:val="00BA421F"/>
    <w:rsid w:val="00BA4995"/>
    <w:rsid w:val="00BA4AFC"/>
    <w:rsid w:val="00BA4E5A"/>
    <w:rsid w:val="00BA5B01"/>
    <w:rsid w:val="00BA5C6F"/>
    <w:rsid w:val="00BA5CC9"/>
    <w:rsid w:val="00BA5F9A"/>
    <w:rsid w:val="00BA5FC7"/>
    <w:rsid w:val="00BA6628"/>
    <w:rsid w:val="00BA6724"/>
    <w:rsid w:val="00BA6B2D"/>
    <w:rsid w:val="00BA6BE0"/>
    <w:rsid w:val="00BA72CE"/>
    <w:rsid w:val="00BA7385"/>
    <w:rsid w:val="00BA7D51"/>
    <w:rsid w:val="00BA7E5A"/>
    <w:rsid w:val="00BA7F6B"/>
    <w:rsid w:val="00BB068D"/>
    <w:rsid w:val="00BB0746"/>
    <w:rsid w:val="00BB13B0"/>
    <w:rsid w:val="00BB1922"/>
    <w:rsid w:val="00BB22A6"/>
    <w:rsid w:val="00BB2793"/>
    <w:rsid w:val="00BB2D19"/>
    <w:rsid w:val="00BB305B"/>
    <w:rsid w:val="00BB3ADD"/>
    <w:rsid w:val="00BB3F1B"/>
    <w:rsid w:val="00BB45D5"/>
    <w:rsid w:val="00BB45EE"/>
    <w:rsid w:val="00BB5A84"/>
    <w:rsid w:val="00BB5BDE"/>
    <w:rsid w:val="00BB65A5"/>
    <w:rsid w:val="00BB6D1A"/>
    <w:rsid w:val="00BB71DB"/>
    <w:rsid w:val="00BB74E5"/>
    <w:rsid w:val="00BB77D3"/>
    <w:rsid w:val="00BB7D96"/>
    <w:rsid w:val="00BB7E3B"/>
    <w:rsid w:val="00BC00BA"/>
    <w:rsid w:val="00BC034F"/>
    <w:rsid w:val="00BC092F"/>
    <w:rsid w:val="00BC0CE4"/>
    <w:rsid w:val="00BC11BF"/>
    <w:rsid w:val="00BC12C3"/>
    <w:rsid w:val="00BC22F9"/>
    <w:rsid w:val="00BC25A7"/>
    <w:rsid w:val="00BC2804"/>
    <w:rsid w:val="00BC290B"/>
    <w:rsid w:val="00BC2B94"/>
    <w:rsid w:val="00BC2CE6"/>
    <w:rsid w:val="00BC3551"/>
    <w:rsid w:val="00BC3A22"/>
    <w:rsid w:val="00BC3DD1"/>
    <w:rsid w:val="00BC53EB"/>
    <w:rsid w:val="00BC5A4C"/>
    <w:rsid w:val="00BC5DF7"/>
    <w:rsid w:val="00BC66FF"/>
    <w:rsid w:val="00BC7241"/>
    <w:rsid w:val="00BC78B5"/>
    <w:rsid w:val="00BC7A15"/>
    <w:rsid w:val="00BD0666"/>
    <w:rsid w:val="00BD0762"/>
    <w:rsid w:val="00BD0E43"/>
    <w:rsid w:val="00BD0F30"/>
    <w:rsid w:val="00BD11A4"/>
    <w:rsid w:val="00BD13FD"/>
    <w:rsid w:val="00BD1620"/>
    <w:rsid w:val="00BD17AB"/>
    <w:rsid w:val="00BD1F91"/>
    <w:rsid w:val="00BD21E1"/>
    <w:rsid w:val="00BD2209"/>
    <w:rsid w:val="00BD24F3"/>
    <w:rsid w:val="00BD25B3"/>
    <w:rsid w:val="00BD2ACF"/>
    <w:rsid w:val="00BD2C7C"/>
    <w:rsid w:val="00BD2CAB"/>
    <w:rsid w:val="00BD2DDE"/>
    <w:rsid w:val="00BD341A"/>
    <w:rsid w:val="00BD37E5"/>
    <w:rsid w:val="00BD438A"/>
    <w:rsid w:val="00BD4BA0"/>
    <w:rsid w:val="00BD542D"/>
    <w:rsid w:val="00BD544E"/>
    <w:rsid w:val="00BD5685"/>
    <w:rsid w:val="00BD5813"/>
    <w:rsid w:val="00BD5A80"/>
    <w:rsid w:val="00BD60A5"/>
    <w:rsid w:val="00BD61A5"/>
    <w:rsid w:val="00BD67E6"/>
    <w:rsid w:val="00BD6994"/>
    <w:rsid w:val="00BD6B7A"/>
    <w:rsid w:val="00BD6D79"/>
    <w:rsid w:val="00BD75F4"/>
    <w:rsid w:val="00BD7A29"/>
    <w:rsid w:val="00BD7C0A"/>
    <w:rsid w:val="00BE02D6"/>
    <w:rsid w:val="00BE0DD5"/>
    <w:rsid w:val="00BE1406"/>
    <w:rsid w:val="00BE196A"/>
    <w:rsid w:val="00BE29CB"/>
    <w:rsid w:val="00BE2A84"/>
    <w:rsid w:val="00BE2FE8"/>
    <w:rsid w:val="00BE3113"/>
    <w:rsid w:val="00BE41A3"/>
    <w:rsid w:val="00BE43F5"/>
    <w:rsid w:val="00BE5728"/>
    <w:rsid w:val="00BE5927"/>
    <w:rsid w:val="00BE5956"/>
    <w:rsid w:val="00BE5A09"/>
    <w:rsid w:val="00BE60A1"/>
    <w:rsid w:val="00BE6348"/>
    <w:rsid w:val="00BE7A72"/>
    <w:rsid w:val="00BE7F53"/>
    <w:rsid w:val="00BF19AB"/>
    <w:rsid w:val="00BF1BF5"/>
    <w:rsid w:val="00BF20EB"/>
    <w:rsid w:val="00BF23DA"/>
    <w:rsid w:val="00BF2611"/>
    <w:rsid w:val="00BF2727"/>
    <w:rsid w:val="00BF2792"/>
    <w:rsid w:val="00BF2C63"/>
    <w:rsid w:val="00BF2E56"/>
    <w:rsid w:val="00BF2EB3"/>
    <w:rsid w:val="00BF304B"/>
    <w:rsid w:val="00BF3750"/>
    <w:rsid w:val="00BF3E62"/>
    <w:rsid w:val="00BF54A6"/>
    <w:rsid w:val="00BF5F4D"/>
    <w:rsid w:val="00BF67F5"/>
    <w:rsid w:val="00BF71E2"/>
    <w:rsid w:val="00C001AB"/>
    <w:rsid w:val="00C001FF"/>
    <w:rsid w:val="00C00B23"/>
    <w:rsid w:val="00C00DE8"/>
    <w:rsid w:val="00C00EE7"/>
    <w:rsid w:val="00C01B0E"/>
    <w:rsid w:val="00C027F8"/>
    <w:rsid w:val="00C028C7"/>
    <w:rsid w:val="00C0320A"/>
    <w:rsid w:val="00C0357E"/>
    <w:rsid w:val="00C0395D"/>
    <w:rsid w:val="00C039BB"/>
    <w:rsid w:val="00C04477"/>
    <w:rsid w:val="00C04843"/>
    <w:rsid w:val="00C04954"/>
    <w:rsid w:val="00C04CFD"/>
    <w:rsid w:val="00C0513E"/>
    <w:rsid w:val="00C05C11"/>
    <w:rsid w:val="00C05E65"/>
    <w:rsid w:val="00C063B5"/>
    <w:rsid w:val="00C064F5"/>
    <w:rsid w:val="00C067ED"/>
    <w:rsid w:val="00C06E6C"/>
    <w:rsid w:val="00C070B8"/>
    <w:rsid w:val="00C07DD8"/>
    <w:rsid w:val="00C07E31"/>
    <w:rsid w:val="00C11499"/>
    <w:rsid w:val="00C11589"/>
    <w:rsid w:val="00C11876"/>
    <w:rsid w:val="00C11901"/>
    <w:rsid w:val="00C11B8E"/>
    <w:rsid w:val="00C11BBB"/>
    <w:rsid w:val="00C11D60"/>
    <w:rsid w:val="00C1250F"/>
    <w:rsid w:val="00C12A3B"/>
    <w:rsid w:val="00C12E1B"/>
    <w:rsid w:val="00C13394"/>
    <w:rsid w:val="00C1376B"/>
    <w:rsid w:val="00C13DDF"/>
    <w:rsid w:val="00C1401C"/>
    <w:rsid w:val="00C1406D"/>
    <w:rsid w:val="00C147B6"/>
    <w:rsid w:val="00C15575"/>
    <w:rsid w:val="00C15657"/>
    <w:rsid w:val="00C16C0E"/>
    <w:rsid w:val="00C16C5F"/>
    <w:rsid w:val="00C17793"/>
    <w:rsid w:val="00C205B5"/>
    <w:rsid w:val="00C21349"/>
    <w:rsid w:val="00C21B19"/>
    <w:rsid w:val="00C21FFA"/>
    <w:rsid w:val="00C2202A"/>
    <w:rsid w:val="00C220F7"/>
    <w:rsid w:val="00C224F3"/>
    <w:rsid w:val="00C2254E"/>
    <w:rsid w:val="00C22779"/>
    <w:rsid w:val="00C2290F"/>
    <w:rsid w:val="00C22AE1"/>
    <w:rsid w:val="00C22B38"/>
    <w:rsid w:val="00C22F21"/>
    <w:rsid w:val="00C22F97"/>
    <w:rsid w:val="00C230FF"/>
    <w:rsid w:val="00C239A0"/>
    <w:rsid w:val="00C23B5A"/>
    <w:rsid w:val="00C24119"/>
    <w:rsid w:val="00C250AD"/>
    <w:rsid w:val="00C25459"/>
    <w:rsid w:val="00C25F5B"/>
    <w:rsid w:val="00C26CE4"/>
    <w:rsid w:val="00C27651"/>
    <w:rsid w:val="00C27CB8"/>
    <w:rsid w:val="00C30073"/>
    <w:rsid w:val="00C3030A"/>
    <w:rsid w:val="00C303C5"/>
    <w:rsid w:val="00C3090A"/>
    <w:rsid w:val="00C30AA9"/>
    <w:rsid w:val="00C30E31"/>
    <w:rsid w:val="00C31489"/>
    <w:rsid w:val="00C3178A"/>
    <w:rsid w:val="00C31BD5"/>
    <w:rsid w:val="00C32616"/>
    <w:rsid w:val="00C33CD6"/>
    <w:rsid w:val="00C33E9F"/>
    <w:rsid w:val="00C341F6"/>
    <w:rsid w:val="00C3445F"/>
    <w:rsid w:val="00C34852"/>
    <w:rsid w:val="00C34F75"/>
    <w:rsid w:val="00C3513F"/>
    <w:rsid w:val="00C35667"/>
    <w:rsid w:val="00C3575A"/>
    <w:rsid w:val="00C360DE"/>
    <w:rsid w:val="00C36116"/>
    <w:rsid w:val="00C36309"/>
    <w:rsid w:val="00C363FB"/>
    <w:rsid w:val="00C36E26"/>
    <w:rsid w:val="00C37137"/>
    <w:rsid w:val="00C374BD"/>
    <w:rsid w:val="00C4010E"/>
    <w:rsid w:val="00C40A38"/>
    <w:rsid w:val="00C41105"/>
    <w:rsid w:val="00C412EC"/>
    <w:rsid w:val="00C41C0A"/>
    <w:rsid w:val="00C42090"/>
    <w:rsid w:val="00C42AF6"/>
    <w:rsid w:val="00C42CF5"/>
    <w:rsid w:val="00C42E69"/>
    <w:rsid w:val="00C43D05"/>
    <w:rsid w:val="00C43F0E"/>
    <w:rsid w:val="00C44517"/>
    <w:rsid w:val="00C44560"/>
    <w:rsid w:val="00C44A9D"/>
    <w:rsid w:val="00C44AA7"/>
    <w:rsid w:val="00C45355"/>
    <w:rsid w:val="00C4584C"/>
    <w:rsid w:val="00C459E0"/>
    <w:rsid w:val="00C45ECD"/>
    <w:rsid w:val="00C45F5D"/>
    <w:rsid w:val="00C46073"/>
    <w:rsid w:val="00C4642F"/>
    <w:rsid w:val="00C46461"/>
    <w:rsid w:val="00C470BD"/>
    <w:rsid w:val="00C472B2"/>
    <w:rsid w:val="00C47B00"/>
    <w:rsid w:val="00C47F1A"/>
    <w:rsid w:val="00C509CB"/>
    <w:rsid w:val="00C50FCE"/>
    <w:rsid w:val="00C51013"/>
    <w:rsid w:val="00C51D82"/>
    <w:rsid w:val="00C52069"/>
    <w:rsid w:val="00C5213D"/>
    <w:rsid w:val="00C52898"/>
    <w:rsid w:val="00C52FBD"/>
    <w:rsid w:val="00C531A6"/>
    <w:rsid w:val="00C53322"/>
    <w:rsid w:val="00C53494"/>
    <w:rsid w:val="00C53717"/>
    <w:rsid w:val="00C537C9"/>
    <w:rsid w:val="00C53DE8"/>
    <w:rsid w:val="00C54022"/>
    <w:rsid w:val="00C540FA"/>
    <w:rsid w:val="00C54256"/>
    <w:rsid w:val="00C547C5"/>
    <w:rsid w:val="00C55933"/>
    <w:rsid w:val="00C5714F"/>
    <w:rsid w:val="00C572F6"/>
    <w:rsid w:val="00C5736F"/>
    <w:rsid w:val="00C5778C"/>
    <w:rsid w:val="00C57857"/>
    <w:rsid w:val="00C6061D"/>
    <w:rsid w:val="00C60725"/>
    <w:rsid w:val="00C60A59"/>
    <w:rsid w:val="00C61824"/>
    <w:rsid w:val="00C61F7A"/>
    <w:rsid w:val="00C626B5"/>
    <w:rsid w:val="00C62C2B"/>
    <w:rsid w:val="00C63109"/>
    <w:rsid w:val="00C635C0"/>
    <w:rsid w:val="00C64D44"/>
    <w:rsid w:val="00C64DFB"/>
    <w:rsid w:val="00C64E97"/>
    <w:rsid w:val="00C6502B"/>
    <w:rsid w:val="00C666B0"/>
    <w:rsid w:val="00C66B9D"/>
    <w:rsid w:val="00C66D10"/>
    <w:rsid w:val="00C66DD2"/>
    <w:rsid w:val="00C66ED1"/>
    <w:rsid w:val="00C67455"/>
    <w:rsid w:val="00C67806"/>
    <w:rsid w:val="00C679CE"/>
    <w:rsid w:val="00C67C47"/>
    <w:rsid w:val="00C708B6"/>
    <w:rsid w:val="00C70A99"/>
    <w:rsid w:val="00C70C92"/>
    <w:rsid w:val="00C70F37"/>
    <w:rsid w:val="00C71228"/>
    <w:rsid w:val="00C718F4"/>
    <w:rsid w:val="00C71B54"/>
    <w:rsid w:val="00C71CEC"/>
    <w:rsid w:val="00C71EFA"/>
    <w:rsid w:val="00C7275E"/>
    <w:rsid w:val="00C72AFA"/>
    <w:rsid w:val="00C72E9E"/>
    <w:rsid w:val="00C73016"/>
    <w:rsid w:val="00C7435D"/>
    <w:rsid w:val="00C74787"/>
    <w:rsid w:val="00C747EF"/>
    <w:rsid w:val="00C74925"/>
    <w:rsid w:val="00C74C29"/>
    <w:rsid w:val="00C74DB1"/>
    <w:rsid w:val="00C75060"/>
    <w:rsid w:val="00C75182"/>
    <w:rsid w:val="00C751E3"/>
    <w:rsid w:val="00C75379"/>
    <w:rsid w:val="00C757B6"/>
    <w:rsid w:val="00C75A70"/>
    <w:rsid w:val="00C75E8D"/>
    <w:rsid w:val="00C7687E"/>
    <w:rsid w:val="00C7690D"/>
    <w:rsid w:val="00C77412"/>
    <w:rsid w:val="00C77C01"/>
    <w:rsid w:val="00C8090A"/>
    <w:rsid w:val="00C80B53"/>
    <w:rsid w:val="00C81661"/>
    <w:rsid w:val="00C82F97"/>
    <w:rsid w:val="00C82FDC"/>
    <w:rsid w:val="00C83B5A"/>
    <w:rsid w:val="00C83DEE"/>
    <w:rsid w:val="00C83EA3"/>
    <w:rsid w:val="00C84102"/>
    <w:rsid w:val="00C8416C"/>
    <w:rsid w:val="00C84877"/>
    <w:rsid w:val="00C84C58"/>
    <w:rsid w:val="00C84CC3"/>
    <w:rsid w:val="00C85080"/>
    <w:rsid w:val="00C85267"/>
    <w:rsid w:val="00C852B8"/>
    <w:rsid w:val="00C8567B"/>
    <w:rsid w:val="00C85D5B"/>
    <w:rsid w:val="00C860B5"/>
    <w:rsid w:val="00C869CA"/>
    <w:rsid w:val="00C86A39"/>
    <w:rsid w:val="00C86C28"/>
    <w:rsid w:val="00C86D6D"/>
    <w:rsid w:val="00C877D5"/>
    <w:rsid w:val="00C87903"/>
    <w:rsid w:val="00C8798E"/>
    <w:rsid w:val="00C87B3D"/>
    <w:rsid w:val="00C87FF8"/>
    <w:rsid w:val="00C9000F"/>
    <w:rsid w:val="00C903C3"/>
    <w:rsid w:val="00C9064E"/>
    <w:rsid w:val="00C90AC8"/>
    <w:rsid w:val="00C91ACB"/>
    <w:rsid w:val="00C92107"/>
    <w:rsid w:val="00C924ED"/>
    <w:rsid w:val="00C929C6"/>
    <w:rsid w:val="00C92AE2"/>
    <w:rsid w:val="00C93507"/>
    <w:rsid w:val="00C9370E"/>
    <w:rsid w:val="00C93B81"/>
    <w:rsid w:val="00C94342"/>
    <w:rsid w:val="00C94612"/>
    <w:rsid w:val="00C9499E"/>
    <w:rsid w:val="00C95697"/>
    <w:rsid w:val="00C956F9"/>
    <w:rsid w:val="00C963F7"/>
    <w:rsid w:val="00C964C0"/>
    <w:rsid w:val="00C964E9"/>
    <w:rsid w:val="00C96CF7"/>
    <w:rsid w:val="00C96D76"/>
    <w:rsid w:val="00C97C7A"/>
    <w:rsid w:val="00C97D69"/>
    <w:rsid w:val="00C97E5A"/>
    <w:rsid w:val="00CA05F1"/>
    <w:rsid w:val="00CA0AC8"/>
    <w:rsid w:val="00CA0E4F"/>
    <w:rsid w:val="00CA1759"/>
    <w:rsid w:val="00CA24AD"/>
    <w:rsid w:val="00CA2C70"/>
    <w:rsid w:val="00CA346D"/>
    <w:rsid w:val="00CA3CAA"/>
    <w:rsid w:val="00CA3CFB"/>
    <w:rsid w:val="00CA40F9"/>
    <w:rsid w:val="00CA41AE"/>
    <w:rsid w:val="00CA4A54"/>
    <w:rsid w:val="00CA4A5D"/>
    <w:rsid w:val="00CA4D43"/>
    <w:rsid w:val="00CA5838"/>
    <w:rsid w:val="00CA5BE8"/>
    <w:rsid w:val="00CA5EDF"/>
    <w:rsid w:val="00CA7640"/>
    <w:rsid w:val="00CA78F0"/>
    <w:rsid w:val="00CB04F5"/>
    <w:rsid w:val="00CB0777"/>
    <w:rsid w:val="00CB0BEF"/>
    <w:rsid w:val="00CB0BF0"/>
    <w:rsid w:val="00CB0C6C"/>
    <w:rsid w:val="00CB0E40"/>
    <w:rsid w:val="00CB0E74"/>
    <w:rsid w:val="00CB11A7"/>
    <w:rsid w:val="00CB19DD"/>
    <w:rsid w:val="00CB247F"/>
    <w:rsid w:val="00CB2E8F"/>
    <w:rsid w:val="00CB3386"/>
    <w:rsid w:val="00CB3A05"/>
    <w:rsid w:val="00CB47E2"/>
    <w:rsid w:val="00CB4A61"/>
    <w:rsid w:val="00CB4B9A"/>
    <w:rsid w:val="00CB4D82"/>
    <w:rsid w:val="00CB4D83"/>
    <w:rsid w:val="00CB53BB"/>
    <w:rsid w:val="00CB547C"/>
    <w:rsid w:val="00CB563E"/>
    <w:rsid w:val="00CB6F1B"/>
    <w:rsid w:val="00CB72EE"/>
    <w:rsid w:val="00CB76A6"/>
    <w:rsid w:val="00CB777A"/>
    <w:rsid w:val="00CB7E96"/>
    <w:rsid w:val="00CB7FE0"/>
    <w:rsid w:val="00CC0408"/>
    <w:rsid w:val="00CC0B5A"/>
    <w:rsid w:val="00CC0B9A"/>
    <w:rsid w:val="00CC0CDC"/>
    <w:rsid w:val="00CC2BC9"/>
    <w:rsid w:val="00CC2D1E"/>
    <w:rsid w:val="00CC2F71"/>
    <w:rsid w:val="00CC3583"/>
    <w:rsid w:val="00CC3E1F"/>
    <w:rsid w:val="00CC4077"/>
    <w:rsid w:val="00CC437B"/>
    <w:rsid w:val="00CC46CE"/>
    <w:rsid w:val="00CC474A"/>
    <w:rsid w:val="00CC547B"/>
    <w:rsid w:val="00CC5AF1"/>
    <w:rsid w:val="00CC5FA7"/>
    <w:rsid w:val="00CC5FFE"/>
    <w:rsid w:val="00CC61FA"/>
    <w:rsid w:val="00CC627A"/>
    <w:rsid w:val="00CC67E5"/>
    <w:rsid w:val="00CC6910"/>
    <w:rsid w:val="00CC74C3"/>
    <w:rsid w:val="00CD00BC"/>
    <w:rsid w:val="00CD028D"/>
    <w:rsid w:val="00CD062C"/>
    <w:rsid w:val="00CD0BBC"/>
    <w:rsid w:val="00CD0BC5"/>
    <w:rsid w:val="00CD0E31"/>
    <w:rsid w:val="00CD0F48"/>
    <w:rsid w:val="00CD1985"/>
    <w:rsid w:val="00CD1D1C"/>
    <w:rsid w:val="00CD2183"/>
    <w:rsid w:val="00CD2E41"/>
    <w:rsid w:val="00CD2FFF"/>
    <w:rsid w:val="00CD3AFE"/>
    <w:rsid w:val="00CD4691"/>
    <w:rsid w:val="00CD4EA9"/>
    <w:rsid w:val="00CD4F19"/>
    <w:rsid w:val="00CD511D"/>
    <w:rsid w:val="00CD57C6"/>
    <w:rsid w:val="00CD60BD"/>
    <w:rsid w:val="00CD69BE"/>
    <w:rsid w:val="00CD6E02"/>
    <w:rsid w:val="00CD6E0E"/>
    <w:rsid w:val="00CD70EB"/>
    <w:rsid w:val="00CD7172"/>
    <w:rsid w:val="00CD75E2"/>
    <w:rsid w:val="00CD7C84"/>
    <w:rsid w:val="00CD7CDA"/>
    <w:rsid w:val="00CD7D57"/>
    <w:rsid w:val="00CE0973"/>
    <w:rsid w:val="00CE0B42"/>
    <w:rsid w:val="00CE1084"/>
    <w:rsid w:val="00CE109A"/>
    <w:rsid w:val="00CE18D3"/>
    <w:rsid w:val="00CE195D"/>
    <w:rsid w:val="00CE23A2"/>
    <w:rsid w:val="00CE328F"/>
    <w:rsid w:val="00CE3DD5"/>
    <w:rsid w:val="00CE3FA1"/>
    <w:rsid w:val="00CE400E"/>
    <w:rsid w:val="00CE413C"/>
    <w:rsid w:val="00CE430F"/>
    <w:rsid w:val="00CE4316"/>
    <w:rsid w:val="00CE44C5"/>
    <w:rsid w:val="00CE44F4"/>
    <w:rsid w:val="00CE4F39"/>
    <w:rsid w:val="00CE5136"/>
    <w:rsid w:val="00CE76FD"/>
    <w:rsid w:val="00CE7942"/>
    <w:rsid w:val="00CE7AC1"/>
    <w:rsid w:val="00CE7C1E"/>
    <w:rsid w:val="00CE7C45"/>
    <w:rsid w:val="00CE7E16"/>
    <w:rsid w:val="00CF08B0"/>
    <w:rsid w:val="00CF0958"/>
    <w:rsid w:val="00CF0AD9"/>
    <w:rsid w:val="00CF0B5D"/>
    <w:rsid w:val="00CF0CD0"/>
    <w:rsid w:val="00CF1584"/>
    <w:rsid w:val="00CF23E0"/>
    <w:rsid w:val="00CF254C"/>
    <w:rsid w:val="00CF2766"/>
    <w:rsid w:val="00CF2C71"/>
    <w:rsid w:val="00CF2FD7"/>
    <w:rsid w:val="00CF32C9"/>
    <w:rsid w:val="00CF377A"/>
    <w:rsid w:val="00CF38AB"/>
    <w:rsid w:val="00CF3F21"/>
    <w:rsid w:val="00CF3FD0"/>
    <w:rsid w:val="00CF49D2"/>
    <w:rsid w:val="00CF501A"/>
    <w:rsid w:val="00CF5367"/>
    <w:rsid w:val="00CF609E"/>
    <w:rsid w:val="00CF686E"/>
    <w:rsid w:val="00CF6BD1"/>
    <w:rsid w:val="00CF708E"/>
    <w:rsid w:val="00CF7AEE"/>
    <w:rsid w:val="00D00629"/>
    <w:rsid w:val="00D008C2"/>
    <w:rsid w:val="00D00936"/>
    <w:rsid w:val="00D010E3"/>
    <w:rsid w:val="00D0182A"/>
    <w:rsid w:val="00D0184B"/>
    <w:rsid w:val="00D01DCA"/>
    <w:rsid w:val="00D02757"/>
    <w:rsid w:val="00D02D8C"/>
    <w:rsid w:val="00D02D9F"/>
    <w:rsid w:val="00D034DD"/>
    <w:rsid w:val="00D037F8"/>
    <w:rsid w:val="00D03C6A"/>
    <w:rsid w:val="00D0405F"/>
    <w:rsid w:val="00D045B3"/>
    <w:rsid w:val="00D04F52"/>
    <w:rsid w:val="00D05175"/>
    <w:rsid w:val="00D052B9"/>
    <w:rsid w:val="00D059AF"/>
    <w:rsid w:val="00D05E60"/>
    <w:rsid w:val="00D06008"/>
    <w:rsid w:val="00D067CB"/>
    <w:rsid w:val="00D07064"/>
    <w:rsid w:val="00D079C2"/>
    <w:rsid w:val="00D07D52"/>
    <w:rsid w:val="00D07E15"/>
    <w:rsid w:val="00D109CB"/>
    <w:rsid w:val="00D10AF8"/>
    <w:rsid w:val="00D117C7"/>
    <w:rsid w:val="00D1181F"/>
    <w:rsid w:val="00D1185F"/>
    <w:rsid w:val="00D11957"/>
    <w:rsid w:val="00D11965"/>
    <w:rsid w:val="00D119A4"/>
    <w:rsid w:val="00D12A7F"/>
    <w:rsid w:val="00D133F0"/>
    <w:rsid w:val="00D13413"/>
    <w:rsid w:val="00D1366F"/>
    <w:rsid w:val="00D13A1B"/>
    <w:rsid w:val="00D13B8B"/>
    <w:rsid w:val="00D13D47"/>
    <w:rsid w:val="00D1471B"/>
    <w:rsid w:val="00D14BC0"/>
    <w:rsid w:val="00D14F70"/>
    <w:rsid w:val="00D1531F"/>
    <w:rsid w:val="00D1613A"/>
    <w:rsid w:val="00D167B8"/>
    <w:rsid w:val="00D16BBB"/>
    <w:rsid w:val="00D16EEF"/>
    <w:rsid w:val="00D17359"/>
    <w:rsid w:val="00D1757E"/>
    <w:rsid w:val="00D17D2B"/>
    <w:rsid w:val="00D20552"/>
    <w:rsid w:val="00D20F65"/>
    <w:rsid w:val="00D214D5"/>
    <w:rsid w:val="00D21F1A"/>
    <w:rsid w:val="00D220B2"/>
    <w:rsid w:val="00D2271C"/>
    <w:rsid w:val="00D230A9"/>
    <w:rsid w:val="00D23195"/>
    <w:rsid w:val="00D233D8"/>
    <w:rsid w:val="00D23E4F"/>
    <w:rsid w:val="00D255CC"/>
    <w:rsid w:val="00D2585A"/>
    <w:rsid w:val="00D25F86"/>
    <w:rsid w:val="00D2608B"/>
    <w:rsid w:val="00D2724C"/>
    <w:rsid w:val="00D30094"/>
    <w:rsid w:val="00D30503"/>
    <w:rsid w:val="00D30D47"/>
    <w:rsid w:val="00D31614"/>
    <w:rsid w:val="00D31A21"/>
    <w:rsid w:val="00D31EB3"/>
    <w:rsid w:val="00D3221E"/>
    <w:rsid w:val="00D322B6"/>
    <w:rsid w:val="00D3254C"/>
    <w:rsid w:val="00D327C8"/>
    <w:rsid w:val="00D3338D"/>
    <w:rsid w:val="00D337C3"/>
    <w:rsid w:val="00D3401D"/>
    <w:rsid w:val="00D352EF"/>
    <w:rsid w:val="00D35563"/>
    <w:rsid w:val="00D35ECE"/>
    <w:rsid w:val="00D35F74"/>
    <w:rsid w:val="00D35FBB"/>
    <w:rsid w:val="00D36379"/>
    <w:rsid w:val="00D37ECE"/>
    <w:rsid w:val="00D40311"/>
    <w:rsid w:val="00D4039C"/>
    <w:rsid w:val="00D403AF"/>
    <w:rsid w:val="00D404B8"/>
    <w:rsid w:val="00D40FEE"/>
    <w:rsid w:val="00D41150"/>
    <w:rsid w:val="00D41322"/>
    <w:rsid w:val="00D413C0"/>
    <w:rsid w:val="00D416D2"/>
    <w:rsid w:val="00D41719"/>
    <w:rsid w:val="00D41DB2"/>
    <w:rsid w:val="00D4283D"/>
    <w:rsid w:val="00D4290E"/>
    <w:rsid w:val="00D42F39"/>
    <w:rsid w:val="00D43280"/>
    <w:rsid w:val="00D434C3"/>
    <w:rsid w:val="00D4352D"/>
    <w:rsid w:val="00D43699"/>
    <w:rsid w:val="00D43752"/>
    <w:rsid w:val="00D43D37"/>
    <w:rsid w:val="00D43E07"/>
    <w:rsid w:val="00D4408A"/>
    <w:rsid w:val="00D44216"/>
    <w:rsid w:val="00D4544A"/>
    <w:rsid w:val="00D455EF"/>
    <w:rsid w:val="00D4657C"/>
    <w:rsid w:val="00D46C20"/>
    <w:rsid w:val="00D46CC8"/>
    <w:rsid w:val="00D46F8A"/>
    <w:rsid w:val="00D50323"/>
    <w:rsid w:val="00D50ECA"/>
    <w:rsid w:val="00D51209"/>
    <w:rsid w:val="00D514F5"/>
    <w:rsid w:val="00D51541"/>
    <w:rsid w:val="00D51634"/>
    <w:rsid w:val="00D51785"/>
    <w:rsid w:val="00D5180B"/>
    <w:rsid w:val="00D52F84"/>
    <w:rsid w:val="00D53208"/>
    <w:rsid w:val="00D5331A"/>
    <w:rsid w:val="00D53328"/>
    <w:rsid w:val="00D53446"/>
    <w:rsid w:val="00D54084"/>
    <w:rsid w:val="00D54866"/>
    <w:rsid w:val="00D55124"/>
    <w:rsid w:val="00D553ED"/>
    <w:rsid w:val="00D55930"/>
    <w:rsid w:val="00D55A0A"/>
    <w:rsid w:val="00D55B07"/>
    <w:rsid w:val="00D56064"/>
    <w:rsid w:val="00D5723F"/>
    <w:rsid w:val="00D572B9"/>
    <w:rsid w:val="00D5787C"/>
    <w:rsid w:val="00D579A3"/>
    <w:rsid w:val="00D57BF1"/>
    <w:rsid w:val="00D6059B"/>
    <w:rsid w:val="00D6072E"/>
    <w:rsid w:val="00D60E6F"/>
    <w:rsid w:val="00D60EED"/>
    <w:rsid w:val="00D61F02"/>
    <w:rsid w:val="00D628FF"/>
    <w:rsid w:val="00D62FC7"/>
    <w:rsid w:val="00D630E6"/>
    <w:rsid w:val="00D63551"/>
    <w:rsid w:val="00D63A8F"/>
    <w:rsid w:val="00D63BA2"/>
    <w:rsid w:val="00D63CF1"/>
    <w:rsid w:val="00D63DFB"/>
    <w:rsid w:val="00D64503"/>
    <w:rsid w:val="00D64505"/>
    <w:rsid w:val="00D64725"/>
    <w:rsid w:val="00D651A7"/>
    <w:rsid w:val="00D658A5"/>
    <w:rsid w:val="00D661BC"/>
    <w:rsid w:val="00D661E6"/>
    <w:rsid w:val="00D662C5"/>
    <w:rsid w:val="00D662E3"/>
    <w:rsid w:val="00D66300"/>
    <w:rsid w:val="00D669DB"/>
    <w:rsid w:val="00D66C32"/>
    <w:rsid w:val="00D6704E"/>
    <w:rsid w:val="00D670FD"/>
    <w:rsid w:val="00D67105"/>
    <w:rsid w:val="00D67386"/>
    <w:rsid w:val="00D6760B"/>
    <w:rsid w:val="00D67C13"/>
    <w:rsid w:val="00D702EF"/>
    <w:rsid w:val="00D70AA0"/>
    <w:rsid w:val="00D70F5A"/>
    <w:rsid w:val="00D72D13"/>
    <w:rsid w:val="00D72ECA"/>
    <w:rsid w:val="00D734B3"/>
    <w:rsid w:val="00D73B27"/>
    <w:rsid w:val="00D75048"/>
    <w:rsid w:val="00D76652"/>
    <w:rsid w:val="00D76B4A"/>
    <w:rsid w:val="00D77D7B"/>
    <w:rsid w:val="00D800C5"/>
    <w:rsid w:val="00D8046E"/>
    <w:rsid w:val="00D8048D"/>
    <w:rsid w:val="00D804B2"/>
    <w:rsid w:val="00D80BD2"/>
    <w:rsid w:val="00D81160"/>
    <w:rsid w:val="00D81234"/>
    <w:rsid w:val="00D8181A"/>
    <w:rsid w:val="00D81CFB"/>
    <w:rsid w:val="00D8215B"/>
    <w:rsid w:val="00D8248A"/>
    <w:rsid w:val="00D82730"/>
    <w:rsid w:val="00D839CD"/>
    <w:rsid w:val="00D83E63"/>
    <w:rsid w:val="00D84125"/>
    <w:rsid w:val="00D845B9"/>
    <w:rsid w:val="00D846F5"/>
    <w:rsid w:val="00D84A9E"/>
    <w:rsid w:val="00D84C2B"/>
    <w:rsid w:val="00D84E77"/>
    <w:rsid w:val="00D85407"/>
    <w:rsid w:val="00D859BC"/>
    <w:rsid w:val="00D867ED"/>
    <w:rsid w:val="00D86A3F"/>
    <w:rsid w:val="00D8795E"/>
    <w:rsid w:val="00D87A16"/>
    <w:rsid w:val="00D87A27"/>
    <w:rsid w:val="00D87EA0"/>
    <w:rsid w:val="00D908ED"/>
    <w:rsid w:val="00D909E7"/>
    <w:rsid w:val="00D90C0C"/>
    <w:rsid w:val="00D90F1F"/>
    <w:rsid w:val="00D9101D"/>
    <w:rsid w:val="00D91A5E"/>
    <w:rsid w:val="00D91FA2"/>
    <w:rsid w:val="00D91FAF"/>
    <w:rsid w:val="00D92518"/>
    <w:rsid w:val="00D92EAE"/>
    <w:rsid w:val="00D94508"/>
    <w:rsid w:val="00D94616"/>
    <w:rsid w:val="00D94658"/>
    <w:rsid w:val="00D94E8A"/>
    <w:rsid w:val="00D94FB2"/>
    <w:rsid w:val="00D95419"/>
    <w:rsid w:val="00D95B50"/>
    <w:rsid w:val="00D96D6D"/>
    <w:rsid w:val="00D97273"/>
    <w:rsid w:val="00D974B2"/>
    <w:rsid w:val="00D97B7B"/>
    <w:rsid w:val="00DA00EA"/>
    <w:rsid w:val="00DA0B1E"/>
    <w:rsid w:val="00DA0E0B"/>
    <w:rsid w:val="00DA116F"/>
    <w:rsid w:val="00DA137B"/>
    <w:rsid w:val="00DA1B86"/>
    <w:rsid w:val="00DA2453"/>
    <w:rsid w:val="00DA24D9"/>
    <w:rsid w:val="00DA2B94"/>
    <w:rsid w:val="00DA2C57"/>
    <w:rsid w:val="00DA2CCD"/>
    <w:rsid w:val="00DA3D5B"/>
    <w:rsid w:val="00DA4019"/>
    <w:rsid w:val="00DA4DFC"/>
    <w:rsid w:val="00DA5A61"/>
    <w:rsid w:val="00DA5BA8"/>
    <w:rsid w:val="00DA6057"/>
    <w:rsid w:val="00DA67B5"/>
    <w:rsid w:val="00DA6CE6"/>
    <w:rsid w:val="00DB04AF"/>
    <w:rsid w:val="00DB0652"/>
    <w:rsid w:val="00DB06DE"/>
    <w:rsid w:val="00DB077F"/>
    <w:rsid w:val="00DB0F5D"/>
    <w:rsid w:val="00DB1218"/>
    <w:rsid w:val="00DB1614"/>
    <w:rsid w:val="00DB179D"/>
    <w:rsid w:val="00DB1B57"/>
    <w:rsid w:val="00DB209B"/>
    <w:rsid w:val="00DB2530"/>
    <w:rsid w:val="00DB2ACB"/>
    <w:rsid w:val="00DB2B64"/>
    <w:rsid w:val="00DB2CA0"/>
    <w:rsid w:val="00DB3BDB"/>
    <w:rsid w:val="00DB3F8E"/>
    <w:rsid w:val="00DB4A19"/>
    <w:rsid w:val="00DB4C0D"/>
    <w:rsid w:val="00DB5444"/>
    <w:rsid w:val="00DB54CC"/>
    <w:rsid w:val="00DB5829"/>
    <w:rsid w:val="00DB5A79"/>
    <w:rsid w:val="00DB5EB6"/>
    <w:rsid w:val="00DB610A"/>
    <w:rsid w:val="00DB6A76"/>
    <w:rsid w:val="00DB6C91"/>
    <w:rsid w:val="00DB7904"/>
    <w:rsid w:val="00DB7DE1"/>
    <w:rsid w:val="00DC0314"/>
    <w:rsid w:val="00DC0B88"/>
    <w:rsid w:val="00DC0F86"/>
    <w:rsid w:val="00DC153D"/>
    <w:rsid w:val="00DC1B8A"/>
    <w:rsid w:val="00DC2854"/>
    <w:rsid w:val="00DC28F8"/>
    <w:rsid w:val="00DC3633"/>
    <w:rsid w:val="00DC3893"/>
    <w:rsid w:val="00DC3BAD"/>
    <w:rsid w:val="00DC3CD5"/>
    <w:rsid w:val="00DC43F2"/>
    <w:rsid w:val="00DC44E7"/>
    <w:rsid w:val="00DC49D3"/>
    <w:rsid w:val="00DC4D28"/>
    <w:rsid w:val="00DC63BF"/>
    <w:rsid w:val="00DC7175"/>
    <w:rsid w:val="00DC7F5D"/>
    <w:rsid w:val="00DC7FE0"/>
    <w:rsid w:val="00DD02C5"/>
    <w:rsid w:val="00DD05E8"/>
    <w:rsid w:val="00DD07A2"/>
    <w:rsid w:val="00DD09B5"/>
    <w:rsid w:val="00DD117F"/>
    <w:rsid w:val="00DD152B"/>
    <w:rsid w:val="00DD172B"/>
    <w:rsid w:val="00DD245F"/>
    <w:rsid w:val="00DD2C9F"/>
    <w:rsid w:val="00DD2E63"/>
    <w:rsid w:val="00DD335B"/>
    <w:rsid w:val="00DD36BA"/>
    <w:rsid w:val="00DD38A2"/>
    <w:rsid w:val="00DD3E04"/>
    <w:rsid w:val="00DD40EE"/>
    <w:rsid w:val="00DD423C"/>
    <w:rsid w:val="00DD477E"/>
    <w:rsid w:val="00DD4835"/>
    <w:rsid w:val="00DD4AC5"/>
    <w:rsid w:val="00DD4D2C"/>
    <w:rsid w:val="00DD567D"/>
    <w:rsid w:val="00DD5A3C"/>
    <w:rsid w:val="00DD5FC5"/>
    <w:rsid w:val="00DD6712"/>
    <w:rsid w:val="00DD6AEA"/>
    <w:rsid w:val="00DD7104"/>
    <w:rsid w:val="00DD783C"/>
    <w:rsid w:val="00DD7F5E"/>
    <w:rsid w:val="00DE0633"/>
    <w:rsid w:val="00DE066B"/>
    <w:rsid w:val="00DE0EF2"/>
    <w:rsid w:val="00DE21AA"/>
    <w:rsid w:val="00DE236A"/>
    <w:rsid w:val="00DE2542"/>
    <w:rsid w:val="00DE2E06"/>
    <w:rsid w:val="00DE2E1A"/>
    <w:rsid w:val="00DE3257"/>
    <w:rsid w:val="00DE3502"/>
    <w:rsid w:val="00DE3AF9"/>
    <w:rsid w:val="00DE3C9B"/>
    <w:rsid w:val="00DE3EE1"/>
    <w:rsid w:val="00DE3F9D"/>
    <w:rsid w:val="00DE40B5"/>
    <w:rsid w:val="00DE41AE"/>
    <w:rsid w:val="00DE4708"/>
    <w:rsid w:val="00DE48B1"/>
    <w:rsid w:val="00DE4CEB"/>
    <w:rsid w:val="00DE5751"/>
    <w:rsid w:val="00DE59D4"/>
    <w:rsid w:val="00DE5BDC"/>
    <w:rsid w:val="00DE5C6B"/>
    <w:rsid w:val="00DE5E39"/>
    <w:rsid w:val="00DE64C7"/>
    <w:rsid w:val="00DE68C7"/>
    <w:rsid w:val="00DE6E3F"/>
    <w:rsid w:val="00DE7757"/>
    <w:rsid w:val="00DE7861"/>
    <w:rsid w:val="00DF0AAD"/>
    <w:rsid w:val="00DF0B3D"/>
    <w:rsid w:val="00DF0C5E"/>
    <w:rsid w:val="00DF11FA"/>
    <w:rsid w:val="00DF162F"/>
    <w:rsid w:val="00DF17A7"/>
    <w:rsid w:val="00DF1C00"/>
    <w:rsid w:val="00DF1DE1"/>
    <w:rsid w:val="00DF2597"/>
    <w:rsid w:val="00DF303C"/>
    <w:rsid w:val="00DF33B8"/>
    <w:rsid w:val="00DF3787"/>
    <w:rsid w:val="00DF3B21"/>
    <w:rsid w:val="00DF42CF"/>
    <w:rsid w:val="00DF43F2"/>
    <w:rsid w:val="00DF474E"/>
    <w:rsid w:val="00DF4CC5"/>
    <w:rsid w:val="00DF5107"/>
    <w:rsid w:val="00DF55B6"/>
    <w:rsid w:val="00DF57AB"/>
    <w:rsid w:val="00DF74BB"/>
    <w:rsid w:val="00DF7CF9"/>
    <w:rsid w:val="00DF7D2F"/>
    <w:rsid w:val="00DF7E20"/>
    <w:rsid w:val="00E00292"/>
    <w:rsid w:val="00E009F3"/>
    <w:rsid w:val="00E0113E"/>
    <w:rsid w:val="00E01BCC"/>
    <w:rsid w:val="00E028AD"/>
    <w:rsid w:val="00E02BE3"/>
    <w:rsid w:val="00E033A4"/>
    <w:rsid w:val="00E0340F"/>
    <w:rsid w:val="00E035B1"/>
    <w:rsid w:val="00E03A86"/>
    <w:rsid w:val="00E03FBE"/>
    <w:rsid w:val="00E048B1"/>
    <w:rsid w:val="00E04B5F"/>
    <w:rsid w:val="00E051E6"/>
    <w:rsid w:val="00E055A1"/>
    <w:rsid w:val="00E05BCC"/>
    <w:rsid w:val="00E062C4"/>
    <w:rsid w:val="00E0634F"/>
    <w:rsid w:val="00E06866"/>
    <w:rsid w:val="00E06E35"/>
    <w:rsid w:val="00E07268"/>
    <w:rsid w:val="00E075A2"/>
    <w:rsid w:val="00E10D82"/>
    <w:rsid w:val="00E11208"/>
    <w:rsid w:val="00E11A71"/>
    <w:rsid w:val="00E11AD2"/>
    <w:rsid w:val="00E11EBF"/>
    <w:rsid w:val="00E12934"/>
    <w:rsid w:val="00E12CE3"/>
    <w:rsid w:val="00E1324E"/>
    <w:rsid w:val="00E136A9"/>
    <w:rsid w:val="00E1457F"/>
    <w:rsid w:val="00E14B35"/>
    <w:rsid w:val="00E14B3A"/>
    <w:rsid w:val="00E14F83"/>
    <w:rsid w:val="00E1526C"/>
    <w:rsid w:val="00E155C5"/>
    <w:rsid w:val="00E15DD7"/>
    <w:rsid w:val="00E1622B"/>
    <w:rsid w:val="00E167E6"/>
    <w:rsid w:val="00E16909"/>
    <w:rsid w:val="00E169E6"/>
    <w:rsid w:val="00E16B93"/>
    <w:rsid w:val="00E16CE3"/>
    <w:rsid w:val="00E17376"/>
    <w:rsid w:val="00E176E7"/>
    <w:rsid w:val="00E17779"/>
    <w:rsid w:val="00E17B8A"/>
    <w:rsid w:val="00E17F41"/>
    <w:rsid w:val="00E20514"/>
    <w:rsid w:val="00E20F18"/>
    <w:rsid w:val="00E218ED"/>
    <w:rsid w:val="00E21FE6"/>
    <w:rsid w:val="00E225ED"/>
    <w:rsid w:val="00E22E62"/>
    <w:rsid w:val="00E236DE"/>
    <w:rsid w:val="00E239D7"/>
    <w:rsid w:val="00E2452C"/>
    <w:rsid w:val="00E24A70"/>
    <w:rsid w:val="00E24AD1"/>
    <w:rsid w:val="00E252E9"/>
    <w:rsid w:val="00E26A9D"/>
    <w:rsid w:val="00E26B04"/>
    <w:rsid w:val="00E26C8F"/>
    <w:rsid w:val="00E27171"/>
    <w:rsid w:val="00E273E0"/>
    <w:rsid w:val="00E303F1"/>
    <w:rsid w:val="00E30712"/>
    <w:rsid w:val="00E30835"/>
    <w:rsid w:val="00E30876"/>
    <w:rsid w:val="00E31A3A"/>
    <w:rsid w:val="00E31BDA"/>
    <w:rsid w:val="00E32218"/>
    <w:rsid w:val="00E324C4"/>
    <w:rsid w:val="00E32627"/>
    <w:rsid w:val="00E3303D"/>
    <w:rsid w:val="00E337BF"/>
    <w:rsid w:val="00E33871"/>
    <w:rsid w:val="00E33B28"/>
    <w:rsid w:val="00E33B38"/>
    <w:rsid w:val="00E33DB5"/>
    <w:rsid w:val="00E33EC3"/>
    <w:rsid w:val="00E34667"/>
    <w:rsid w:val="00E346EA"/>
    <w:rsid w:val="00E34724"/>
    <w:rsid w:val="00E34835"/>
    <w:rsid w:val="00E34C05"/>
    <w:rsid w:val="00E35385"/>
    <w:rsid w:val="00E35878"/>
    <w:rsid w:val="00E359FA"/>
    <w:rsid w:val="00E360CE"/>
    <w:rsid w:val="00E3649E"/>
    <w:rsid w:val="00E365EF"/>
    <w:rsid w:val="00E3675C"/>
    <w:rsid w:val="00E3732C"/>
    <w:rsid w:val="00E3765E"/>
    <w:rsid w:val="00E376F4"/>
    <w:rsid w:val="00E4011F"/>
    <w:rsid w:val="00E403B4"/>
    <w:rsid w:val="00E410F7"/>
    <w:rsid w:val="00E41B10"/>
    <w:rsid w:val="00E4243B"/>
    <w:rsid w:val="00E42564"/>
    <w:rsid w:val="00E4277D"/>
    <w:rsid w:val="00E427FB"/>
    <w:rsid w:val="00E42A95"/>
    <w:rsid w:val="00E42B79"/>
    <w:rsid w:val="00E42C22"/>
    <w:rsid w:val="00E4330E"/>
    <w:rsid w:val="00E43687"/>
    <w:rsid w:val="00E43D49"/>
    <w:rsid w:val="00E43D71"/>
    <w:rsid w:val="00E43EBD"/>
    <w:rsid w:val="00E44244"/>
    <w:rsid w:val="00E4424C"/>
    <w:rsid w:val="00E44E95"/>
    <w:rsid w:val="00E4521B"/>
    <w:rsid w:val="00E45B00"/>
    <w:rsid w:val="00E45BFF"/>
    <w:rsid w:val="00E45DE6"/>
    <w:rsid w:val="00E46154"/>
    <w:rsid w:val="00E46411"/>
    <w:rsid w:val="00E4673F"/>
    <w:rsid w:val="00E46885"/>
    <w:rsid w:val="00E46F83"/>
    <w:rsid w:val="00E470C5"/>
    <w:rsid w:val="00E478FF"/>
    <w:rsid w:val="00E47C48"/>
    <w:rsid w:val="00E50891"/>
    <w:rsid w:val="00E509D7"/>
    <w:rsid w:val="00E50CC5"/>
    <w:rsid w:val="00E511E8"/>
    <w:rsid w:val="00E52288"/>
    <w:rsid w:val="00E5256C"/>
    <w:rsid w:val="00E52C97"/>
    <w:rsid w:val="00E5314A"/>
    <w:rsid w:val="00E53677"/>
    <w:rsid w:val="00E53AF2"/>
    <w:rsid w:val="00E53CDB"/>
    <w:rsid w:val="00E53F18"/>
    <w:rsid w:val="00E5418A"/>
    <w:rsid w:val="00E54897"/>
    <w:rsid w:val="00E54D50"/>
    <w:rsid w:val="00E55387"/>
    <w:rsid w:val="00E55781"/>
    <w:rsid w:val="00E55B73"/>
    <w:rsid w:val="00E55FBD"/>
    <w:rsid w:val="00E5607F"/>
    <w:rsid w:val="00E56805"/>
    <w:rsid w:val="00E56B64"/>
    <w:rsid w:val="00E60914"/>
    <w:rsid w:val="00E60990"/>
    <w:rsid w:val="00E60D71"/>
    <w:rsid w:val="00E60FB8"/>
    <w:rsid w:val="00E61079"/>
    <w:rsid w:val="00E61A6F"/>
    <w:rsid w:val="00E61B54"/>
    <w:rsid w:val="00E622A2"/>
    <w:rsid w:val="00E623E1"/>
    <w:rsid w:val="00E625EA"/>
    <w:rsid w:val="00E62772"/>
    <w:rsid w:val="00E62F9C"/>
    <w:rsid w:val="00E63A5F"/>
    <w:rsid w:val="00E63C82"/>
    <w:rsid w:val="00E64344"/>
    <w:rsid w:val="00E6454C"/>
    <w:rsid w:val="00E653A9"/>
    <w:rsid w:val="00E656E8"/>
    <w:rsid w:val="00E65822"/>
    <w:rsid w:val="00E65BDA"/>
    <w:rsid w:val="00E65BFD"/>
    <w:rsid w:val="00E663D1"/>
    <w:rsid w:val="00E664EE"/>
    <w:rsid w:val="00E66904"/>
    <w:rsid w:val="00E66C6F"/>
    <w:rsid w:val="00E66C84"/>
    <w:rsid w:val="00E6796D"/>
    <w:rsid w:val="00E67F3E"/>
    <w:rsid w:val="00E7007E"/>
    <w:rsid w:val="00E70195"/>
    <w:rsid w:val="00E7020F"/>
    <w:rsid w:val="00E70317"/>
    <w:rsid w:val="00E70FF6"/>
    <w:rsid w:val="00E71671"/>
    <w:rsid w:val="00E71DA3"/>
    <w:rsid w:val="00E72037"/>
    <w:rsid w:val="00E7206F"/>
    <w:rsid w:val="00E72148"/>
    <w:rsid w:val="00E72426"/>
    <w:rsid w:val="00E727E4"/>
    <w:rsid w:val="00E72896"/>
    <w:rsid w:val="00E74323"/>
    <w:rsid w:val="00E74906"/>
    <w:rsid w:val="00E7496E"/>
    <w:rsid w:val="00E7498A"/>
    <w:rsid w:val="00E757BC"/>
    <w:rsid w:val="00E758FB"/>
    <w:rsid w:val="00E75F49"/>
    <w:rsid w:val="00E7627D"/>
    <w:rsid w:val="00E764C1"/>
    <w:rsid w:val="00E76A70"/>
    <w:rsid w:val="00E76B01"/>
    <w:rsid w:val="00E774A3"/>
    <w:rsid w:val="00E77850"/>
    <w:rsid w:val="00E7790D"/>
    <w:rsid w:val="00E802A1"/>
    <w:rsid w:val="00E82048"/>
    <w:rsid w:val="00E83518"/>
    <w:rsid w:val="00E836C1"/>
    <w:rsid w:val="00E837F8"/>
    <w:rsid w:val="00E83A12"/>
    <w:rsid w:val="00E84089"/>
    <w:rsid w:val="00E8581F"/>
    <w:rsid w:val="00E85B18"/>
    <w:rsid w:val="00E85B53"/>
    <w:rsid w:val="00E85F9D"/>
    <w:rsid w:val="00E8606E"/>
    <w:rsid w:val="00E863FE"/>
    <w:rsid w:val="00E87651"/>
    <w:rsid w:val="00E877A1"/>
    <w:rsid w:val="00E87F39"/>
    <w:rsid w:val="00E90562"/>
    <w:rsid w:val="00E90A79"/>
    <w:rsid w:val="00E9163B"/>
    <w:rsid w:val="00E92870"/>
    <w:rsid w:val="00E93B76"/>
    <w:rsid w:val="00E93D26"/>
    <w:rsid w:val="00E9404C"/>
    <w:rsid w:val="00E9416B"/>
    <w:rsid w:val="00E944AD"/>
    <w:rsid w:val="00E94616"/>
    <w:rsid w:val="00E95C35"/>
    <w:rsid w:val="00E961C0"/>
    <w:rsid w:val="00E96490"/>
    <w:rsid w:val="00E96C4A"/>
    <w:rsid w:val="00E96C84"/>
    <w:rsid w:val="00E97453"/>
    <w:rsid w:val="00E97497"/>
    <w:rsid w:val="00E97FA8"/>
    <w:rsid w:val="00EA0103"/>
    <w:rsid w:val="00EA01E0"/>
    <w:rsid w:val="00EA0454"/>
    <w:rsid w:val="00EA0DA0"/>
    <w:rsid w:val="00EA1282"/>
    <w:rsid w:val="00EA13D9"/>
    <w:rsid w:val="00EA18C0"/>
    <w:rsid w:val="00EA2053"/>
    <w:rsid w:val="00EA2074"/>
    <w:rsid w:val="00EA20CA"/>
    <w:rsid w:val="00EA25D0"/>
    <w:rsid w:val="00EA322D"/>
    <w:rsid w:val="00EA36C5"/>
    <w:rsid w:val="00EA3800"/>
    <w:rsid w:val="00EA394C"/>
    <w:rsid w:val="00EA39C2"/>
    <w:rsid w:val="00EA3F86"/>
    <w:rsid w:val="00EA462C"/>
    <w:rsid w:val="00EA4CB4"/>
    <w:rsid w:val="00EA5236"/>
    <w:rsid w:val="00EA52A0"/>
    <w:rsid w:val="00EA556F"/>
    <w:rsid w:val="00EA5834"/>
    <w:rsid w:val="00EA5E35"/>
    <w:rsid w:val="00EA60E9"/>
    <w:rsid w:val="00EA665B"/>
    <w:rsid w:val="00EA6ADE"/>
    <w:rsid w:val="00EA7050"/>
    <w:rsid w:val="00EA7592"/>
    <w:rsid w:val="00EA7E76"/>
    <w:rsid w:val="00EB0110"/>
    <w:rsid w:val="00EB03FB"/>
    <w:rsid w:val="00EB0D68"/>
    <w:rsid w:val="00EB0E94"/>
    <w:rsid w:val="00EB17A1"/>
    <w:rsid w:val="00EB2352"/>
    <w:rsid w:val="00EB2AEE"/>
    <w:rsid w:val="00EB35AD"/>
    <w:rsid w:val="00EB3810"/>
    <w:rsid w:val="00EB3960"/>
    <w:rsid w:val="00EB39B7"/>
    <w:rsid w:val="00EB42A9"/>
    <w:rsid w:val="00EB4E51"/>
    <w:rsid w:val="00EB5167"/>
    <w:rsid w:val="00EB5788"/>
    <w:rsid w:val="00EB5A76"/>
    <w:rsid w:val="00EB5CC9"/>
    <w:rsid w:val="00EB5CE6"/>
    <w:rsid w:val="00EB5E02"/>
    <w:rsid w:val="00EB6555"/>
    <w:rsid w:val="00EB68AC"/>
    <w:rsid w:val="00EB7BB8"/>
    <w:rsid w:val="00EB7C1C"/>
    <w:rsid w:val="00EC02D7"/>
    <w:rsid w:val="00EC0686"/>
    <w:rsid w:val="00EC06CA"/>
    <w:rsid w:val="00EC0D4B"/>
    <w:rsid w:val="00EC0FEC"/>
    <w:rsid w:val="00EC131E"/>
    <w:rsid w:val="00EC15B3"/>
    <w:rsid w:val="00EC18C7"/>
    <w:rsid w:val="00EC197A"/>
    <w:rsid w:val="00EC1CF9"/>
    <w:rsid w:val="00EC1EE6"/>
    <w:rsid w:val="00EC1FAD"/>
    <w:rsid w:val="00EC3C75"/>
    <w:rsid w:val="00EC4AA9"/>
    <w:rsid w:val="00EC4CD9"/>
    <w:rsid w:val="00EC51B8"/>
    <w:rsid w:val="00EC5A07"/>
    <w:rsid w:val="00EC6A2B"/>
    <w:rsid w:val="00EC6B0B"/>
    <w:rsid w:val="00EC6F4D"/>
    <w:rsid w:val="00EC6F54"/>
    <w:rsid w:val="00EC743A"/>
    <w:rsid w:val="00EC7668"/>
    <w:rsid w:val="00EC779C"/>
    <w:rsid w:val="00EC79B8"/>
    <w:rsid w:val="00EC7B05"/>
    <w:rsid w:val="00ED0683"/>
    <w:rsid w:val="00ED1220"/>
    <w:rsid w:val="00ED1369"/>
    <w:rsid w:val="00ED14DC"/>
    <w:rsid w:val="00ED15DF"/>
    <w:rsid w:val="00ED18B5"/>
    <w:rsid w:val="00ED18FE"/>
    <w:rsid w:val="00ED1B3B"/>
    <w:rsid w:val="00ED20B9"/>
    <w:rsid w:val="00ED2D08"/>
    <w:rsid w:val="00ED2D84"/>
    <w:rsid w:val="00ED2F9A"/>
    <w:rsid w:val="00ED3240"/>
    <w:rsid w:val="00ED34BC"/>
    <w:rsid w:val="00ED3528"/>
    <w:rsid w:val="00ED357A"/>
    <w:rsid w:val="00ED3729"/>
    <w:rsid w:val="00ED3873"/>
    <w:rsid w:val="00ED3DF0"/>
    <w:rsid w:val="00ED3F22"/>
    <w:rsid w:val="00ED488E"/>
    <w:rsid w:val="00ED5133"/>
    <w:rsid w:val="00ED570F"/>
    <w:rsid w:val="00ED5931"/>
    <w:rsid w:val="00ED597C"/>
    <w:rsid w:val="00ED616A"/>
    <w:rsid w:val="00ED6536"/>
    <w:rsid w:val="00ED66C2"/>
    <w:rsid w:val="00ED6C03"/>
    <w:rsid w:val="00ED6DBB"/>
    <w:rsid w:val="00ED6E3C"/>
    <w:rsid w:val="00EE00DB"/>
    <w:rsid w:val="00EE039D"/>
    <w:rsid w:val="00EE09AC"/>
    <w:rsid w:val="00EE11C0"/>
    <w:rsid w:val="00EE1BC8"/>
    <w:rsid w:val="00EE20D3"/>
    <w:rsid w:val="00EE2F49"/>
    <w:rsid w:val="00EE3271"/>
    <w:rsid w:val="00EE35BC"/>
    <w:rsid w:val="00EE3787"/>
    <w:rsid w:val="00EE3F77"/>
    <w:rsid w:val="00EE4ABD"/>
    <w:rsid w:val="00EE4C59"/>
    <w:rsid w:val="00EE4CE2"/>
    <w:rsid w:val="00EE4F3B"/>
    <w:rsid w:val="00EE54A0"/>
    <w:rsid w:val="00EE5512"/>
    <w:rsid w:val="00EE56C8"/>
    <w:rsid w:val="00EE65A0"/>
    <w:rsid w:val="00EE65A4"/>
    <w:rsid w:val="00EE68B9"/>
    <w:rsid w:val="00EE6E42"/>
    <w:rsid w:val="00EE7414"/>
    <w:rsid w:val="00EE7A28"/>
    <w:rsid w:val="00EE7E21"/>
    <w:rsid w:val="00EF00F4"/>
    <w:rsid w:val="00EF0194"/>
    <w:rsid w:val="00EF05CC"/>
    <w:rsid w:val="00EF0FCF"/>
    <w:rsid w:val="00EF1038"/>
    <w:rsid w:val="00EF1D85"/>
    <w:rsid w:val="00EF2930"/>
    <w:rsid w:val="00EF2D50"/>
    <w:rsid w:val="00EF390A"/>
    <w:rsid w:val="00EF4524"/>
    <w:rsid w:val="00EF46C9"/>
    <w:rsid w:val="00EF4B93"/>
    <w:rsid w:val="00EF4BD4"/>
    <w:rsid w:val="00EF4FE3"/>
    <w:rsid w:val="00EF55C5"/>
    <w:rsid w:val="00EF580E"/>
    <w:rsid w:val="00EF5B8D"/>
    <w:rsid w:val="00EF5C45"/>
    <w:rsid w:val="00EF6426"/>
    <w:rsid w:val="00EF7658"/>
    <w:rsid w:val="00EF7962"/>
    <w:rsid w:val="00EF7F12"/>
    <w:rsid w:val="00F00F56"/>
    <w:rsid w:val="00F011CC"/>
    <w:rsid w:val="00F0127E"/>
    <w:rsid w:val="00F0149A"/>
    <w:rsid w:val="00F01A0C"/>
    <w:rsid w:val="00F02288"/>
    <w:rsid w:val="00F02404"/>
    <w:rsid w:val="00F02A3C"/>
    <w:rsid w:val="00F02D28"/>
    <w:rsid w:val="00F03067"/>
    <w:rsid w:val="00F03300"/>
    <w:rsid w:val="00F04870"/>
    <w:rsid w:val="00F04D45"/>
    <w:rsid w:val="00F05545"/>
    <w:rsid w:val="00F05AC2"/>
    <w:rsid w:val="00F05D01"/>
    <w:rsid w:val="00F06019"/>
    <w:rsid w:val="00F06870"/>
    <w:rsid w:val="00F06B82"/>
    <w:rsid w:val="00F06B89"/>
    <w:rsid w:val="00F06CD2"/>
    <w:rsid w:val="00F073AC"/>
    <w:rsid w:val="00F078BB"/>
    <w:rsid w:val="00F07DC4"/>
    <w:rsid w:val="00F1011A"/>
    <w:rsid w:val="00F10D66"/>
    <w:rsid w:val="00F10FDF"/>
    <w:rsid w:val="00F11375"/>
    <w:rsid w:val="00F11A24"/>
    <w:rsid w:val="00F12842"/>
    <w:rsid w:val="00F13401"/>
    <w:rsid w:val="00F13660"/>
    <w:rsid w:val="00F13773"/>
    <w:rsid w:val="00F1382D"/>
    <w:rsid w:val="00F13BA4"/>
    <w:rsid w:val="00F13C8F"/>
    <w:rsid w:val="00F13C98"/>
    <w:rsid w:val="00F149CA"/>
    <w:rsid w:val="00F15272"/>
    <w:rsid w:val="00F153B8"/>
    <w:rsid w:val="00F15F88"/>
    <w:rsid w:val="00F1635C"/>
    <w:rsid w:val="00F16F5F"/>
    <w:rsid w:val="00F172A3"/>
    <w:rsid w:val="00F17482"/>
    <w:rsid w:val="00F1765F"/>
    <w:rsid w:val="00F17735"/>
    <w:rsid w:val="00F2052D"/>
    <w:rsid w:val="00F20605"/>
    <w:rsid w:val="00F20FE1"/>
    <w:rsid w:val="00F21298"/>
    <w:rsid w:val="00F21474"/>
    <w:rsid w:val="00F21B28"/>
    <w:rsid w:val="00F21DBF"/>
    <w:rsid w:val="00F2225B"/>
    <w:rsid w:val="00F223F1"/>
    <w:rsid w:val="00F22453"/>
    <w:rsid w:val="00F2297E"/>
    <w:rsid w:val="00F22989"/>
    <w:rsid w:val="00F23198"/>
    <w:rsid w:val="00F23AD2"/>
    <w:rsid w:val="00F23B1D"/>
    <w:rsid w:val="00F24BDD"/>
    <w:rsid w:val="00F24DB3"/>
    <w:rsid w:val="00F25288"/>
    <w:rsid w:val="00F25613"/>
    <w:rsid w:val="00F25769"/>
    <w:rsid w:val="00F259D1"/>
    <w:rsid w:val="00F26060"/>
    <w:rsid w:val="00F26730"/>
    <w:rsid w:val="00F27493"/>
    <w:rsid w:val="00F27C8C"/>
    <w:rsid w:val="00F27F75"/>
    <w:rsid w:val="00F302D1"/>
    <w:rsid w:val="00F3041D"/>
    <w:rsid w:val="00F30584"/>
    <w:rsid w:val="00F30644"/>
    <w:rsid w:val="00F3082D"/>
    <w:rsid w:val="00F30916"/>
    <w:rsid w:val="00F30C43"/>
    <w:rsid w:val="00F313EB"/>
    <w:rsid w:val="00F31931"/>
    <w:rsid w:val="00F31B44"/>
    <w:rsid w:val="00F3201C"/>
    <w:rsid w:val="00F3205E"/>
    <w:rsid w:val="00F320C4"/>
    <w:rsid w:val="00F326D9"/>
    <w:rsid w:val="00F32B43"/>
    <w:rsid w:val="00F32C5A"/>
    <w:rsid w:val="00F32DF9"/>
    <w:rsid w:val="00F331AC"/>
    <w:rsid w:val="00F3325F"/>
    <w:rsid w:val="00F3388A"/>
    <w:rsid w:val="00F33A4B"/>
    <w:rsid w:val="00F3445C"/>
    <w:rsid w:val="00F3468C"/>
    <w:rsid w:val="00F34993"/>
    <w:rsid w:val="00F350EC"/>
    <w:rsid w:val="00F3525B"/>
    <w:rsid w:val="00F358B5"/>
    <w:rsid w:val="00F36659"/>
    <w:rsid w:val="00F36923"/>
    <w:rsid w:val="00F369D1"/>
    <w:rsid w:val="00F37233"/>
    <w:rsid w:val="00F37588"/>
    <w:rsid w:val="00F3779A"/>
    <w:rsid w:val="00F37AA5"/>
    <w:rsid w:val="00F37DBE"/>
    <w:rsid w:val="00F402FD"/>
    <w:rsid w:val="00F4133E"/>
    <w:rsid w:val="00F41BD1"/>
    <w:rsid w:val="00F43346"/>
    <w:rsid w:val="00F437F0"/>
    <w:rsid w:val="00F43BEE"/>
    <w:rsid w:val="00F43E6B"/>
    <w:rsid w:val="00F44325"/>
    <w:rsid w:val="00F46054"/>
    <w:rsid w:val="00F471D9"/>
    <w:rsid w:val="00F474D7"/>
    <w:rsid w:val="00F47947"/>
    <w:rsid w:val="00F50332"/>
    <w:rsid w:val="00F5100A"/>
    <w:rsid w:val="00F51537"/>
    <w:rsid w:val="00F5173D"/>
    <w:rsid w:val="00F51FFF"/>
    <w:rsid w:val="00F52222"/>
    <w:rsid w:val="00F5271F"/>
    <w:rsid w:val="00F52D46"/>
    <w:rsid w:val="00F52F67"/>
    <w:rsid w:val="00F530C8"/>
    <w:rsid w:val="00F53301"/>
    <w:rsid w:val="00F5394E"/>
    <w:rsid w:val="00F53B5B"/>
    <w:rsid w:val="00F546C0"/>
    <w:rsid w:val="00F54905"/>
    <w:rsid w:val="00F55BB5"/>
    <w:rsid w:val="00F55DFB"/>
    <w:rsid w:val="00F56091"/>
    <w:rsid w:val="00F56AD2"/>
    <w:rsid w:val="00F56E5E"/>
    <w:rsid w:val="00F56F1C"/>
    <w:rsid w:val="00F571DB"/>
    <w:rsid w:val="00F57B3B"/>
    <w:rsid w:val="00F606B6"/>
    <w:rsid w:val="00F60D49"/>
    <w:rsid w:val="00F6159F"/>
    <w:rsid w:val="00F622D0"/>
    <w:rsid w:val="00F62944"/>
    <w:rsid w:val="00F62CF8"/>
    <w:rsid w:val="00F632AA"/>
    <w:rsid w:val="00F63419"/>
    <w:rsid w:val="00F636DF"/>
    <w:rsid w:val="00F63DD3"/>
    <w:rsid w:val="00F64654"/>
    <w:rsid w:val="00F656EB"/>
    <w:rsid w:val="00F65B3F"/>
    <w:rsid w:val="00F65D6B"/>
    <w:rsid w:val="00F65E75"/>
    <w:rsid w:val="00F6617B"/>
    <w:rsid w:val="00F67EFE"/>
    <w:rsid w:val="00F70375"/>
    <w:rsid w:val="00F7076F"/>
    <w:rsid w:val="00F70963"/>
    <w:rsid w:val="00F70A0B"/>
    <w:rsid w:val="00F70CA4"/>
    <w:rsid w:val="00F71C55"/>
    <w:rsid w:val="00F71CC7"/>
    <w:rsid w:val="00F71F8A"/>
    <w:rsid w:val="00F7238F"/>
    <w:rsid w:val="00F727D4"/>
    <w:rsid w:val="00F729DC"/>
    <w:rsid w:val="00F72C6D"/>
    <w:rsid w:val="00F72DF5"/>
    <w:rsid w:val="00F737DB"/>
    <w:rsid w:val="00F73851"/>
    <w:rsid w:val="00F739F5"/>
    <w:rsid w:val="00F75380"/>
    <w:rsid w:val="00F75B75"/>
    <w:rsid w:val="00F762C0"/>
    <w:rsid w:val="00F7640F"/>
    <w:rsid w:val="00F76B1D"/>
    <w:rsid w:val="00F778EC"/>
    <w:rsid w:val="00F77998"/>
    <w:rsid w:val="00F77BD2"/>
    <w:rsid w:val="00F77E6D"/>
    <w:rsid w:val="00F80025"/>
    <w:rsid w:val="00F80101"/>
    <w:rsid w:val="00F8125B"/>
    <w:rsid w:val="00F81390"/>
    <w:rsid w:val="00F81F64"/>
    <w:rsid w:val="00F823C8"/>
    <w:rsid w:val="00F8296F"/>
    <w:rsid w:val="00F82B89"/>
    <w:rsid w:val="00F8382F"/>
    <w:rsid w:val="00F83C46"/>
    <w:rsid w:val="00F83F8E"/>
    <w:rsid w:val="00F8467D"/>
    <w:rsid w:val="00F849A4"/>
    <w:rsid w:val="00F84A74"/>
    <w:rsid w:val="00F85179"/>
    <w:rsid w:val="00F86B5E"/>
    <w:rsid w:val="00F87051"/>
    <w:rsid w:val="00F873BF"/>
    <w:rsid w:val="00F87AB1"/>
    <w:rsid w:val="00F87BC0"/>
    <w:rsid w:val="00F87F5A"/>
    <w:rsid w:val="00F9066B"/>
    <w:rsid w:val="00F91211"/>
    <w:rsid w:val="00F91393"/>
    <w:rsid w:val="00F922CE"/>
    <w:rsid w:val="00F928C3"/>
    <w:rsid w:val="00F92C6F"/>
    <w:rsid w:val="00F92D7C"/>
    <w:rsid w:val="00F9339C"/>
    <w:rsid w:val="00F93B87"/>
    <w:rsid w:val="00F93CB5"/>
    <w:rsid w:val="00F93D05"/>
    <w:rsid w:val="00F93E48"/>
    <w:rsid w:val="00F9405D"/>
    <w:rsid w:val="00F942B6"/>
    <w:rsid w:val="00F9512C"/>
    <w:rsid w:val="00F95515"/>
    <w:rsid w:val="00F95738"/>
    <w:rsid w:val="00F95B4B"/>
    <w:rsid w:val="00F9681B"/>
    <w:rsid w:val="00F96844"/>
    <w:rsid w:val="00F96A9C"/>
    <w:rsid w:val="00F96E06"/>
    <w:rsid w:val="00F972AC"/>
    <w:rsid w:val="00F97898"/>
    <w:rsid w:val="00F97ECD"/>
    <w:rsid w:val="00FA040C"/>
    <w:rsid w:val="00FA09E6"/>
    <w:rsid w:val="00FA0B33"/>
    <w:rsid w:val="00FA0C42"/>
    <w:rsid w:val="00FA151C"/>
    <w:rsid w:val="00FA1769"/>
    <w:rsid w:val="00FA1907"/>
    <w:rsid w:val="00FA1BD1"/>
    <w:rsid w:val="00FA1EF0"/>
    <w:rsid w:val="00FA21F6"/>
    <w:rsid w:val="00FA2309"/>
    <w:rsid w:val="00FA2CEF"/>
    <w:rsid w:val="00FA37F9"/>
    <w:rsid w:val="00FA3DE3"/>
    <w:rsid w:val="00FA408A"/>
    <w:rsid w:val="00FA4515"/>
    <w:rsid w:val="00FA4BFE"/>
    <w:rsid w:val="00FA4C3C"/>
    <w:rsid w:val="00FA51BB"/>
    <w:rsid w:val="00FA52F7"/>
    <w:rsid w:val="00FA5C68"/>
    <w:rsid w:val="00FA6386"/>
    <w:rsid w:val="00FA6479"/>
    <w:rsid w:val="00FA6542"/>
    <w:rsid w:val="00FA6737"/>
    <w:rsid w:val="00FA727D"/>
    <w:rsid w:val="00FA7D04"/>
    <w:rsid w:val="00FA7E0C"/>
    <w:rsid w:val="00FA7E2C"/>
    <w:rsid w:val="00FB02D9"/>
    <w:rsid w:val="00FB04BC"/>
    <w:rsid w:val="00FB086C"/>
    <w:rsid w:val="00FB09F6"/>
    <w:rsid w:val="00FB0A66"/>
    <w:rsid w:val="00FB0AB2"/>
    <w:rsid w:val="00FB0DA5"/>
    <w:rsid w:val="00FB1803"/>
    <w:rsid w:val="00FB1BAD"/>
    <w:rsid w:val="00FB1D60"/>
    <w:rsid w:val="00FB31D0"/>
    <w:rsid w:val="00FB335D"/>
    <w:rsid w:val="00FB3791"/>
    <w:rsid w:val="00FB3911"/>
    <w:rsid w:val="00FB3A6F"/>
    <w:rsid w:val="00FB3D8A"/>
    <w:rsid w:val="00FB3EDA"/>
    <w:rsid w:val="00FB443E"/>
    <w:rsid w:val="00FB4472"/>
    <w:rsid w:val="00FB44AA"/>
    <w:rsid w:val="00FB4A6F"/>
    <w:rsid w:val="00FB5055"/>
    <w:rsid w:val="00FB567C"/>
    <w:rsid w:val="00FB7842"/>
    <w:rsid w:val="00FB796C"/>
    <w:rsid w:val="00FC0283"/>
    <w:rsid w:val="00FC09BB"/>
    <w:rsid w:val="00FC198B"/>
    <w:rsid w:val="00FC1CA1"/>
    <w:rsid w:val="00FC23CF"/>
    <w:rsid w:val="00FC294A"/>
    <w:rsid w:val="00FC2A78"/>
    <w:rsid w:val="00FC30B6"/>
    <w:rsid w:val="00FC35FC"/>
    <w:rsid w:val="00FC39EE"/>
    <w:rsid w:val="00FC3A0A"/>
    <w:rsid w:val="00FC406C"/>
    <w:rsid w:val="00FC457A"/>
    <w:rsid w:val="00FC584C"/>
    <w:rsid w:val="00FC5A65"/>
    <w:rsid w:val="00FC6487"/>
    <w:rsid w:val="00FC64CC"/>
    <w:rsid w:val="00FC65E9"/>
    <w:rsid w:val="00FC65FF"/>
    <w:rsid w:val="00FC6820"/>
    <w:rsid w:val="00FC699B"/>
    <w:rsid w:val="00FC737D"/>
    <w:rsid w:val="00FC751A"/>
    <w:rsid w:val="00FC7EB4"/>
    <w:rsid w:val="00FD0D3E"/>
    <w:rsid w:val="00FD1074"/>
    <w:rsid w:val="00FD112A"/>
    <w:rsid w:val="00FD1554"/>
    <w:rsid w:val="00FD19E8"/>
    <w:rsid w:val="00FD1B3B"/>
    <w:rsid w:val="00FD1DF9"/>
    <w:rsid w:val="00FD2088"/>
    <w:rsid w:val="00FD2F8A"/>
    <w:rsid w:val="00FD362B"/>
    <w:rsid w:val="00FD3823"/>
    <w:rsid w:val="00FD3C21"/>
    <w:rsid w:val="00FD3DCB"/>
    <w:rsid w:val="00FD4211"/>
    <w:rsid w:val="00FD46BD"/>
    <w:rsid w:val="00FD4752"/>
    <w:rsid w:val="00FD4A5D"/>
    <w:rsid w:val="00FD512C"/>
    <w:rsid w:val="00FD524B"/>
    <w:rsid w:val="00FD5A2E"/>
    <w:rsid w:val="00FD5BBE"/>
    <w:rsid w:val="00FD5C1F"/>
    <w:rsid w:val="00FD6684"/>
    <w:rsid w:val="00FD67B2"/>
    <w:rsid w:val="00FD6C7C"/>
    <w:rsid w:val="00FD7093"/>
    <w:rsid w:val="00FD7531"/>
    <w:rsid w:val="00FD7FAA"/>
    <w:rsid w:val="00FE0753"/>
    <w:rsid w:val="00FE0814"/>
    <w:rsid w:val="00FE0923"/>
    <w:rsid w:val="00FE0F12"/>
    <w:rsid w:val="00FE199B"/>
    <w:rsid w:val="00FE1A9A"/>
    <w:rsid w:val="00FE1BA6"/>
    <w:rsid w:val="00FE34EA"/>
    <w:rsid w:val="00FE36D8"/>
    <w:rsid w:val="00FE390E"/>
    <w:rsid w:val="00FE3BB8"/>
    <w:rsid w:val="00FE3FD3"/>
    <w:rsid w:val="00FE432E"/>
    <w:rsid w:val="00FE4697"/>
    <w:rsid w:val="00FE46A9"/>
    <w:rsid w:val="00FE4980"/>
    <w:rsid w:val="00FE5350"/>
    <w:rsid w:val="00FE5418"/>
    <w:rsid w:val="00FE5732"/>
    <w:rsid w:val="00FE5830"/>
    <w:rsid w:val="00FE5854"/>
    <w:rsid w:val="00FE5ACC"/>
    <w:rsid w:val="00FE5CCA"/>
    <w:rsid w:val="00FE6265"/>
    <w:rsid w:val="00FE6D9E"/>
    <w:rsid w:val="00FE70CB"/>
    <w:rsid w:val="00FE71E6"/>
    <w:rsid w:val="00FE7438"/>
    <w:rsid w:val="00FF006D"/>
    <w:rsid w:val="00FF0207"/>
    <w:rsid w:val="00FF086F"/>
    <w:rsid w:val="00FF13EB"/>
    <w:rsid w:val="00FF19E2"/>
    <w:rsid w:val="00FF1A06"/>
    <w:rsid w:val="00FF1C92"/>
    <w:rsid w:val="00FF27DE"/>
    <w:rsid w:val="00FF3E99"/>
    <w:rsid w:val="00FF40BA"/>
    <w:rsid w:val="00FF4131"/>
    <w:rsid w:val="00FF4234"/>
    <w:rsid w:val="00FF4816"/>
    <w:rsid w:val="00FF4AFF"/>
    <w:rsid w:val="00FF4EAB"/>
    <w:rsid w:val="00FF51C6"/>
    <w:rsid w:val="00FF559C"/>
    <w:rsid w:val="00FF5A74"/>
    <w:rsid w:val="00FF76E3"/>
    <w:rsid w:val="00FF7C52"/>
    <w:rsid w:val="025608F0"/>
    <w:rsid w:val="09380E29"/>
    <w:rsid w:val="0CD02118"/>
    <w:rsid w:val="0CEB5B8A"/>
    <w:rsid w:val="11502BC0"/>
    <w:rsid w:val="119B645B"/>
    <w:rsid w:val="1A20540C"/>
    <w:rsid w:val="1ADA5BA0"/>
    <w:rsid w:val="1BF1114A"/>
    <w:rsid w:val="1E7465CD"/>
    <w:rsid w:val="1F6E6445"/>
    <w:rsid w:val="1F7F7BCB"/>
    <w:rsid w:val="216630AA"/>
    <w:rsid w:val="22B01762"/>
    <w:rsid w:val="22FF321B"/>
    <w:rsid w:val="23B10B84"/>
    <w:rsid w:val="24DD3DE5"/>
    <w:rsid w:val="26B22351"/>
    <w:rsid w:val="27FA1591"/>
    <w:rsid w:val="2A76687B"/>
    <w:rsid w:val="2BF47007"/>
    <w:rsid w:val="2CCB04DF"/>
    <w:rsid w:val="2EEB70FA"/>
    <w:rsid w:val="31116D56"/>
    <w:rsid w:val="32662098"/>
    <w:rsid w:val="35357087"/>
    <w:rsid w:val="3A555D6F"/>
    <w:rsid w:val="3AED578D"/>
    <w:rsid w:val="3CED280E"/>
    <w:rsid w:val="3D9406C6"/>
    <w:rsid w:val="3F4215C7"/>
    <w:rsid w:val="3FF41DD7"/>
    <w:rsid w:val="40831C19"/>
    <w:rsid w:val="416374DF"/>
    <w:rsid w:val="42815DE1"/>
    <w:rsid w:val="49505FD5"/>
    <w:rsid w:val="4A476D0B"/>
    <w:rsid w:val="4AB82649"/>
    <w:rsid w:val="4BF15BAE"/>
    <w:rsid w:val="4BF84410"/>
    <w:rsid w:val="51AA7E43"/>
    <w:rsid w:val="5201260D"/>
    <w:rsid w:val="555B0286"/>
    <w:rsid w:val="56396FC9"/>
    <w:rsid w:val="5677247B"/>
    <w:rsid w:val="59C21AF5"/>
    <w:rsid w:val="5DD8692E"/>
    <w:rsid w:val="5E211048"/>
    <w:rsid w:val="60D11B4F"/>
    <w:rsid w:val="60F51CAF"/>
    <w:rsid w:val="61D01578"/>
    <w:rsid w:val="64D530A8"/>
    <w:rsid w:val="659A4370"/>
    <w:rsid w:val="68D441EB"/>
    <w:rsid w:val="6A263F0D"/>
    <w:rsid w:val="6C1D5E3D"/>
    <w:rsid w:val="6E296F45"/>
    <w:rsid w:val="780F3769"/>
    <w:rsid w:val="783B0FC9"/>
    <w:rsid w:val="78781711"/>
    <w:rsid w:val="7AE41241"/>
    <w:rsid w:val="7CD00FFC"/>
    <w:rsid w:val="7D1F1189"/>
    <w:rsid w:val="7DAB2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spacing w:line="460" w:lineRule="exact"/>
      <w:jc w:val="center"/>
      <w:outlineLvl w:val="0"/>
    </w:pPr>
    <w:rPr>
      <w:sz w:val="28"/>
      <w:szCs w:val="28"/>
    </w:rPr>
  </w:style>
  <w:style w:type="paragraph" w:styleId="3">
    <w:name w:val="heading 2"/>
    <w:basedOn w:val="1"/>
    <w:next w:val="1"/>
    <w:link w:val="1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basedOn w:val="11"/>
    <w:link w:val="2"/>
    <w:qFormat/>
    <w:uiPriority w:val="0"/>
    <w:rPr>
      <w:kern w:val="2"/>
      <w:sz w:val="28"/>
      <w:szCs w:val="28"/>
    </w:rPr>
  </w:style>
  <w:style w:type="character" w:customStyle="1" w:styleId="13">
    <w:name w:val="标题 2 Char"/>
    <w:basedOn w:val="11"/>
    <w:link w:val="3"/>
    <w:qFormat/>
    <w:uiPriority w:val="0"/>
    <w:rPr>
      <w:rFonts w:ascii="Arial" w:hAnsi="Arial" w:eastAsia="黑体"/>
      <w:b/>
      <w:bCs/>
      <w:kern w:val="2"/>
      <w:sz w:val="32"/>
      <w:szCs w:val="32"/>
    </w:rPr>
  </w:style>
  <w:style w:type="character" w:customStyle="1" w:styleId="14">
    <w:name w:val="标题 3 Char"/>
    <w:basedOn w:val="11"/>
    <w:link w:val="4"/>
    <w:qFormat/>
    <w:uiPriority w:val="0"/>
    <w:rPr>
      <w:b/>
      <w:bCs/>
      <w:kern w:val="2"/>
      <w:sz w:val="32"/>
      <w:szCs w:val="32"/>
    </w:rPr>
  </w:style>
  <w:style w:type="character" w:customStyle="1" w:styleId="15">
    <w:name w:val="批注框文本 Char"/>
    <w:basedOn w:val="11"/>
    <w:link w:val="5"/>
    <w:semiHidden/>
    <w:qFormat/>
    <w:uiPriority w:val="99"/>
    <w:rPr>
      <w:kern w:val="2"/>
      <w:sz w:val="18"/>
      <w:szCs w:val="18"/>
    </w:rPr>
  </w:style>
  <w:style w:type="character" w:customStyle="1" w:styleId="16">
    <w:name w:val="页眉 Char"/>
    <w:basedOn w:val="11"/>
    <w:link w:val="7"/>
    <w:semiHidden/>
    <w:qFormat/>
    <w:uiPriority w:val="99"/>
    <w:rPr>
      <w:kern w:val="2"/>
      <w:sz w:val="18"/>
      <w:szCs w:val="18"/>
    </w:rPr>
  </w:style>
  <w:style w:type="character" w:customStyle="1" w:styleId="17">
    <w:name w:val="页脚 Char"/>
    <w:basedOn w:val="11"/>
    <w:link w:val="6"/>
    <w:semiHidden/>
    <w:qFormat/>
    <w:uiPriority w:val="99"/>
    <w:rPr>
      <w:kern w:val="2"/>
      <w:sz w:val="18"/>
      <w:szCs w:val="18"/>
    </w:rPr>
  </w:style>
  <w:style w:type="table" w:customStyle="1" w:styleId="18">
    <w:name w:val="Table Normal1"/>
    <w:semiHidden/>
    <w:unhideWhenUsed/>
    <w:qFormat/>
    <w:uiPriority w:val="0"/>
    <w:rPr>
      <w:rFonts w:ascii="等线" w:hAnsi="等线" w:eastAsia="等线"/>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5311</Words>
  <Characters>5623</Characters>
  <Lines>9</Lines>
  <Paragraphs>11</Paragraphs>
  <TotalTime>0</TotalTime>
  <ScaleCrop>false</ScaleCrop>
  <LinksUpToDate>false</LinksUpToDate>
  <CharactersWithSpaces>5815</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2021-05-18T10:42:00Z</dcterms:created>
  <dc:creator>Microsoft</dc:creator>
  <cp:lastModifiedBy>jx</cp:lastModifiedBy>
  <cp:lastPrinted>2025-08-13T10:33:00Z</cp:lastPrinted>
  <dcterms:modified xsi:type="dcterms:W3CDTF">2025-08-25T08:52:58Z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B625751DBA1C446F81F0F7240CBDFAE2</vt:lpwstr>
  </property>
  <property fmtid="{D5CDD505-2E9C-101B-9397-08002B2CF9AE}" pid="4" name="KSOTemplateDocerSaveRecord">
    <vt:lpwstr>eyJoZGlkIjoiNTM5YzcxZTRjYTMyM2I0OTBhZTM0NGZjYTQyMWE4NWMiLCJ1c2VySWQiOiIxMjM0ODgwMzE4In0=</vt:lpwstr>
  </property>
</Properties>
</file>