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0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关于拨付江夏区2025年生猪调出大县奖励资金项目奖补资金的公示</w:t>
      </w:r>
    </w:p>
    <w:p w14:paraId="1E38126D">
      <w:pPr>
        <w:autoSpaceDE w:val="0"/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93D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根据区农业农村局印发《江夏区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生猪调出大县奖励资金使用实施方案》（夏农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为做好生猪调出大县奖励资金项目，保障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我区生猪生产保持相对稳定、产品质量进一步提高，生产模式进一步优化、逐步实现标准化养殖，规模化生产、市场化经验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、社会化服务的生猪生产新格局。</w:t>
      </w:r>
    </w:p>
    <w:p w14:paraId="01E1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1家公司及13个街道畜牧兽医技术服务中心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生猪调出大县奖励资金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武汉夏财信会计服务有限责任公司对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1家公司及13个街道畜牧兽医技术服务中心进行了项目验收，涉及奖补资金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为53.9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 w14:paraId="47C7F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武汉信实有限责任会计师事务所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对2023年-2025年江夏区生猪调出大县奖励资金项目进行审核，涉及项目审核费用5万元。</w:t>
      </w:r>
    </w:p>
    <w:p w14:paraId="23B1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依据第三方机构出具的验收报告及</w:t>
      </w:r>
      <w:r>
        <w:rPr>
          <w:rFonts w:hint="eastAsia" w:ascii="仿宋_GB2312" w:hAnsi="仿宋_GB2312" w:eastAsia="仿宋_GB2312" w:cs="仿宋_GB2312"/>
          <w:sz w:val="32"/>
          <w:szCs w:val="32"/>
        </w:rPr>
        <w:t>夏农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文件标准，计划对实施生</w:t>
      </w:r>
      <w:r>
        <w:rPr>
          <w:rFonts w:hint="eastAsia" w:ascii="仿宋_GB2312" w:hAnsi="仿宋_GB2312" w:eastAsia="仿宋_GB2312" w:cs="仿宋_GB2312"/>
          <w:sz w:val="32"/>
          <w:szCs w:val="32"/>
        </w:rPr>
        <w:t>猪调出大县奖励资金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项目的1家公司及13个街道畜牧兽医技术服务中心予以奖补；计划对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武汉信实有限责任会计师事务所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项目审核费用进行支付，涉及资金共计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4C72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生猪调出大县奖励资金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情况在政府门户网站上予以公示7天，接受社会监督。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联系电话：027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-81822689</w:t>
      </w:r>
    </w:p>
    <w:p w14:paraId="1595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附件：2025年江夏区生猪调出大县奖励资金项目资金明细表</w:t>
      </w:r>
    </w:p>
    <w:p w14:paraId="7B14B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4A28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92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江夏区农业产业化服务中心</w:t>
      </w:r>
    </w:p>
    <w:p w14:paraId="190DB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2025年10月20日</w:t>
      </w:r>
    </w:p>
    <w:p w14:paraId="6CA68967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年江夏区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生猪调出大县奖励资金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" w:hAnsi="仿宋" w:eastAsia="仿宋"/>
          <w:sz w:val="32"/>
          <w:szCs w:val="32"/>
          <w:lang w:eastAsia="zh-CN"/>
        </w:rPr>
        <w:t>明细表》</w:t>
      </w:r>
      <w:bookmarkStart w:id="0" w:name="_GoBack"/>
      <w:bookmarkEnd w:id="0"/>
    </w:p>
    <w:tbl>
      <w:tblPr>
        <w:tblStyle w:val="4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721"/>
        <w:gridCol w:w="3272"/>
        <w:gridCol w:w="1661"/>
      </w:tblGrid>
      <w:tr w14:paraId="7DDB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324" w:type="pct"/>
            <w:vAlign w:val="center"/>
          </w:tcPr>
          <w:p w14:paraId="1E2EFFC1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序号</w:t>
            </w:r>
          </w:p>
        </w:tc>
        <w:tc>
          <w:tcPr>
            <w:tcW w:w="2009" w:type="pct"/>
            <w:vAlign w:val="center"/>
          </w:tcPr>
          <w:p w14:paraId="3402490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单位名称</w:t>
            </w:r>
          </w:p>
        </w:tc>
        <w:tc>
          <w:tcPr>
            <w:tcW w:w="1767" w:type="pct"/>
            <w:vAlign w:val="center"/>
          </w:tcPr>
          <w:p w14:paraId="2FE51742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897" w:type="pct"/>
            <w:vAlign w:val="center"/>
          </w:tcPr>
          <w:p w14:paraId="1A5122B5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奖补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金额</w:t>
            </w:r>
          </w:p>
        </w:tc>
      </w:tr>
      <w:tr w14:paraId="140F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0808D282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2009" w:type="pct"/>
            <w:vAlign w:val="center"/>
          </w:tcPr>
          <w:p w14:paraId="0CDD1BBB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武汉市江夏区外贸恒兴机械化屠宰厂</w:t>
            </w:r>
          </w:p>
        </w:tc>
        <w:tc>
          <w:tcPr>
            <w:tcW w:w="1767" w:type="pct"/>
            <w:vAlign w:val="center"/>
          </w:tcPr>
          <w:p w14:paraId="14748FFC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病死猪无害化处理项目</w:t>
            </w:r>
          </w:p>
        </w:tc>
        <w:tc>
          <w:tcPr>
            <w:tcW w:w="897" w:type="pct"/>
            <w:vAlign w:val="center"/>
          </w:tcPr>
          <w:p w14:paraId="658A75F9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40,000.00</w:t>
            </w:r>
          </w:p>
        </w:tc>
      </w:tr>
      <w:tr w14:paraId="5CA9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01C1A02D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2009" w:type="pct"/>
            <w:vAlign w:val="center"/>
          </w:tcPr>
          <w:p w14:paraId="0498E3B9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武汉信实有限责任会计师事务所</w:t>
            </w:r>
          </w:p>
        </w:tc>
        <w:tc>
          <w:tcPr>
            <w:tcW w:w="1767" w:type="pct"/>
            <w:vAlign w:val="center"/>
          </w:tcPr>
          <w:p w14:paraId="53008744">
            <w:pPr>
              <w:spacing w:line="240" w:lineRule="auto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2023年-2025年江夏区生猪调出大县奖励资金项目审核</w:t>
            </w:r>
          </w:p>
        </w:tc>
        <w:tc>
          <w:tcPr>
            <w:tcW w:w="897" w:type="pct"/>
            <w:vAlign w:val="center"/>
          </w:tcPr>
          <w:p w14:paraId="737FD4E8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50,000.00</w:t>
            </w:r>
          </w:p>
        </w:tc>
      </w:tr>
      <w:tr w14:paraId="5878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6DBC413D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FECF884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江夏区纸坊畜牧兽医技术服务中心</w:t>
            </w:r>
          </w:p>
        </w:tc>
        <w:tc>
          <w:tcPr>
            <w:tcW w:w="1767" w:type="pct"/>
            <w:vAlign w:val="center"/>
          </w:tcPr>
          <w:p w14:paraId="5080C8E6">
            <w:pPr>
              <w:spacing w:line="240" w:lineRule="auto"/>
              <w:jc w:val="center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0C34F7E8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70,000.00</w:t>
            </w:r>
          </w:p>
        </w:tc>
      </w:tr>
      <w:tr w14:paraId="1C88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24" w:type="pct"/>
            <w:vAlign w:val="center"/>
          </w:tcPr>
          <w:p w14:paraId="2D2B7640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4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A831730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江夏区郑店畜牧兽医技术服务中心</w:t>
            </w:r>
          </w:p>
        </w:tc>
        <w:tc>
          <w:tcPr>
            <w:tcW w:w="1767" w:type="pct"/>
            <w:vAlign w:val="center"/>
          </w:tcPr>
          <w:p w14:paraId="37B25498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7881E623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70,000.00</w:t>
            </w:r>
          </w:p>
        </w:tc>
      </w:tr>
      <w:tr w14:paraId="5632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13E3F46E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5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000E192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江夏区安山畜牧兽医技术服务中心</w:t>
            </w:r>
          </w:p>
        </w:tc>
        <w:tc>
          <w:tcPr>
            <w:tcW w:w="1767" w:type="pct"/>
            <w:vAlign w:val="center"/>
          </w:tcPr>
          <w:p w14:paraId="0BEDCDEC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2CD64C3D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70,000.00</w:t>
            </w:r>
          </w:p>
        </w:tc>
      </w:tr>
      <w:tr w14:paraId="0688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4C765624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6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ED2FFC3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江夏区山坡畜牧兽医技术服务中心</w:t>
            </w:r>
          </w:p>
        </w:tc>
        <w:tc>
          <w:tcPr>
            <w:tcW w:w="1767" w:type="pct"/>
            <w:vAlign w:val="center"/>
          </w:tcPr>
          <w:p w14:paraId="44370C42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1F03275D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70,000.00</w:t>
            </w:r>
          </w:p>
        </w:tc>
      </w:tr>
      <w:tr w14:paraId="3EDB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1C2A2B1F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7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060DA0DF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江夏区法泗畜牧兽医技术服务中心</w:t>
            </w:r>
          </w:p>
        </w:tc>
        <w:tc>
          <w:tcPr>
            <w:tcW w:w="1767" w:type="pct"/>
            <w:vAlign w:val="center"/>
          </w:tcPr>
          <w:p w14:paraId="475D0A0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74606EA8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55,000.00</w:t>
            </w:r>
          </w:p>
        </w:tc>
      </w:tr>
      <w:tr w14:paraId="4D17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03A63320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8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502564B2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江夏区乌龙泉畜牧兽医技术服务中心</w:t>
            </w:r>
          </w:p>
        </w:tc>
        <w:tc>
          <w:tcPr>
            <w:tcW w:w="1767" w:type="pct"/>
            <w:vAlign w:val="center"/>
          </w:tcPr>
          <w:p w14:paraId="22FA788A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55DB7531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70,000.00</w:t>
            </w:r>
          </w:p>
        </w:tc>
      </w:tr>
      <w:tr w14:paraId="0BB5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07233620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9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32799E0D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江夏区舒安畜牧兽医技术服务中心</w:t>
            </w:r>
          </w:p>
        </w:tc>
        <w:tc>
          <w:tcPr>
            <w:tcW w:w="1767" w:type="pct"/>
            <w:vAlign w:val="center"/>
          </w:tcPr>
          <w:p w14:paraId="2DF68208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799DD937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38,000.00</w:t>
            </w:r>
          </w:p>
        </w:tc>
      </w:tr>
      <w:tr w14:paraId="2900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0C44A76D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10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7E66CD8F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江夏区金口畜牧兽医技术服务中心</w:t>
            </w:r>
          </w:p>
        </w:tc>
        <w:tc>
          <w:tcPr>
            <w:tcW w:w="1767" w:type="pct"/>
            <w:vAlign w:val="center"/>
          </w:tcPr>
          <w:p w14:paraId="6C55F97D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20847521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17,000.00</w:t>
            </w:r>
          </w:p>
        </w:tc>
      </w:tr>
      <w:tr w14:paraId="5B27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24" w:type="pct"/>
            <w:vAlign w:val="center"/>
          </w:tcPr>
          <w:p w14:paraId="40DE2A3F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11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1A44D910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江夏区湖泗畜牧兽医技术服务中心</w:t>
            </w:r>
          </w:p>
        </w:tc>
        <w:tc>
          <w:tcPr>
            <w:tcW w:w="1767" w:type="pct"/>
            <w:vAlign w:val="center"/>
          </w:tcPr>
          <w:p w14:paraId="5F329E94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完成2024年稳产保供任务目标</w:t>
            </w:r>
          </w:p>
        </w:tc>
        <w:tc>
          <w:tcPr>
            <w:tcW w:w="897" w:type="pct"/>
            <w:vAlign w:val="center"/>
          </w:tcPr>
          <w:p w14:paraId="40F76201"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39,000.00</w:t>
            </w:r>
          </w:p>
        </w:tc>
      </w:tr>
      <w:tr w14:paraId="3BE7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4" w:type="pct"/>
            <w:vAlign w:val="center"/>
          </w:tcPr>
          <w:p w14:paraId="3C1BC4AE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009" w:type="pct"/>
            <w:vAlign w:val="center"/>
          </w:tcPr>
          <w:p w14:paraId="03FD5D99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合计</w:t>
            </w:r>
          </w:p>
        </w:tc>
        <w:tc>
          <w:tcPr>
            <w:tcW w:w="1767" w:type="pct"/>
            <w:vAlign w:val="center"/>
          </w:tcPr>
          <w:p w14:paraId="1372B091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97" w:type="pct"/>
            <w:vAlign w:val="center"/>
          </w:tcPr>
          <w:p w14:paraId="0C34D49E"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2"/>
                <w:sz w:val="18"/>
                <w:szCs w:val="18"/>
                <w:lang w:val="en-US" w:eastAsia="zh-CN" w:bidi="ar-SA"/>
              </w:rPr>
              <w:t>589,000.00</w:t>
            </w:r>
          </w:p>
        </w:tc>
      </w:tr>
    </w:tbl>
    <w:p w14:paraId="45B11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1AA0D7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 w14:paraId="19C7C7D5"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383" w:right="1480" w:bottom="800" w:left="14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mYwOTAxMTg5NzdkZTk0ODY1NzU4ZDcyYWFmYTUifQ=="/>
  </w:docVars>
  <w:rsids>
    <w:rsidRoot w:val="00DC3446"/>
    <w:rsid w:val="005A77D3"/>
    <w:rsid w:val="00DC3446"/>
    <w:rsid w:val="0464217B"/>
    <w:rsid w:val="04A247E6"/>
    <w:rsid w:val="0532605E"/>
    <w:rsid w:val="08103ADB"/>
    <w:rsid w:val="08AE6343"/>
    <w:rsid w:val="092600E8"/>
    <w:rsid w:val="0A656ED5"/>
    <w:rsid w:val="0BA42A4E"/>
    <w:rsid w:val="0C122165"/>
    <w:rsid w:val="0D4626B6"/>
    <w:rsid w:val="147F6DE6"/>
    <w:rsid w:val="1485385B"/>
    <w:rsid w:val="1A992762"/>
    <w:rsid w:val="1B855497"/>
    <w:rsid w:val="1BAF1D5E"/>
    <w:rsid w:val="1C0F0A4F"/>
    <w:rsid w:val="1EE833D9"/>
    <w:rsid w:val="200A36AF"/>
    <w:rsid w:val="22063ACE"/>
    <w:rsid w:val="228543AE"/>
    <w:rsid w:val="24A60DD2"/>
    <w:rsid w:val="270A3861"/>
    <w:rsid w:val="27F751B9"/>
    <w:rsid w:val="2C8D53CA"/>
    <w:rsid w:val="2D596DFE"/>
    <w:rsid w:val="2F285C58"/>
    <w:rsid w:val="316B2774"/>
    <w:rsid w:val="32807B59"/>
    <w:rsid w:val="32D43983"/>
    <w:rsid w:val="34FA62E8"/>
    <w:rsid w:val="396F2BCA"/>
    <w:rsid w:val="3D9A2417"/>
    <w:rsid w:val="3EB055C4"/>
    <w:rsid w:val="41C05C11"/>
    <w:rsid w:val="42987377"/>
    <w:rsid w:val="434D7F2B"/>
    <w:rsid w:val="44930468"/>
    <w:rsid w:val="48A32ABD"/>
    <w:rsid w:val="4C3F18E5"/>
    <w:rsid w:val="4E105DDD"/>
    <w:rsid w:val="4E4B32B9"/>
    <w:rsid w:val="5463111A"/>
    <w:rsid w:val="55F3226C"/>
    <w:rsid w:val="56955A19"/>
    <w:rsid w:val="57E42566"/>
    <w:rsid w:val="58DC7930"/>
    <w:rsid w:val="5ADF7A41"/>
    <w:rsid w:val="5CC8414B"/>
    <w:rsid w:val="5E387FC1"/>
    <w:rsid w:val="616159D7"/>
    <w:rsid w:val="631A1780"/>
    <w:rsid w:val="63EF3188"/>
    <w:rsid w:val="64E33DF4"/>
    <w:rsid w:val="65B35F8F"/>
    <w:rsid w:val="668033A9"/>
    <w:rsid w:val="6CAE6A95"/>
    <w:rsid w:val="6CEF3260"/>
    <w:rsid w:val="6D35460F"/>
    <w:rsid w:val="6ECE341F"/>
    <w:rsid w:val="70623FCD"/>
    <w:rsid w:val="77F76EEB"/>
    <w:rsid w:val="782D217C"/>
    <w:rsid w:val="79642183"/>
    <w:rsid w:val="799055DF"/>
    <w:rsid w:val="7D6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968</Characters>
  <Lines>5</Lines>
  <Paragraphs>1</Paragraphs>
  <TotalTime>25</TotalTime>
  <ScaleCrop>false</ScaleCrop>
  <LinksUpToDate>false</LinksUpToDate>
  <CharactersWithSpaces>1001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2022-09-01T09:05:00Z</dcterms:created>
  <dc:creator>Administrator</dc:creator>
  <cp:lastModifiedBy>遇见更好的自己</cp:lastModifiedBy>
  <cp:lastPrinted>2025-10-20T01:19:07Z</cp:lastPrinted>
  <dcterms:modified xsi:type="dcterms:W3CDTF">2025-10-20T01:29:18Z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B07E854347784A669CBCEB4DE2A24A1D_13</vt:lpwstr>
  </property>
  <property fmtid="{D5CDD505-2E9C-101B-9397-08002B2CF9AE}" pid="4" name="KSOTemplateDocerSaveRecord">
    <vt:lpwstr>eyJoZGlkIjoiNDc3MmYwOTAxMTg5NzdkZTk0ODY1NzU4ZDcyYWFmYTUiLCJ1c2VySWQiOiIzMzc1MDUxODgifQ==</vt:lpwstr>
  </property>
</Properties>
</file>