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〕10号</w:t>
      </w:r>
    </w:p>
    <w:bookmarkEnd w:id="0"/>
    <w:p w14:paraId="063BD282">
      <w:pPr>
        <w:widowControl/>
        <w:suppressAutoHyphens/>
        <w:autoSpaceDE w:val="0"/>
        <w:autoSpaceDN w:val="0"/>
        <w:spacing w:line="500" w:lineRule="exact"/>
        <w:rPr>
          <w:rFonts w:hint="eastAsia" w:ascii="仿宋" w:hAnsi="仿宋" w:eastAsia="仿宋" w:cs="微软雅黑"/>
          <w:kern w:val="1"/>
          <w:sz w:val="32"/>
          <w:szCs w:val="32"/>
        </w:rPr>
      </w:pPr>
      <w:r>
        <w:rPr>
          <w:rFonts w:hint="eastAsia" w:ascii="仿宋" w:hAnsi="仿宋" w:eastAsia="仿宋" w:cs="Mongolian Baiti"/>
          <w:kern w:val="1"/>
          <w:sz w:val="32"/>
          <w:szCs w:val="32"/>
        </w:rPr>
        <w:t>当事人：武汉市民俊农贸发展有限公司</w:t>
      </w:r>
      <w:r>
        <w:rPr>
          <w:rFonts w:ascii="仿宋" w:hAnsi="仿宋" w:eastAsia="仿宋" w:cs="微软雅黑"/>
          <w:kern w:val="1"/>
          <w:sz w:val="32"/>
          <w:szCs w:val="32"/>
        </w:rPr>
        <w:t xml:space="preserve"> </w:t>
      </w:r>
    </w:p>
    <w:p w14:paraId="40077781">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统一社会信用代码：</w:t>
      </w:r>
      <w:r>
        <w:rPr>
          <w:rFonts w:ascii="仿宋" w:hAnsi="仿宋" w:eastAsia="仿宋" w:cs="Mongolian Baiti"/>
          <w:kern w:val="1"/>
          <w:sz w:val="32"/>
          <w:szCs w:val="32"/>
        </w:rPr>
        <w:t xml:space="preserve">91420115584899581Q </w:t>
      </w:r>
    </w:p>
    <w:p w14:paraId="79806521">
      <w:pPr>
        <w:widowControl/>
        <w:suppressAutoHyphens/>
        <w:autoSpaceDE w:val="0"/>
        <w:autoSpaceDN w:val="0"/>
        <w:spacing w:line="500" w:lineRule="exact"/>
        <w:rPr>
          <w:rFonts w:hint="eastAsia" w:ascii="仿宋" w:hAnsi="仿宋" w:eastAsia="仿宋" w:cs="Mongolian Baiti"/>
          <w:kern w:val="1"/>
          <w:sz w:val="32"/>
          <w:szCs w:val="32"/>
        </w:rPr>
      </w:pPr>
      <w:r>
        <w:rPr>
          <w:rFonts w:hint="eastAsia" w:ascii="仿宋" w:hAnsi="仿宋" w:eastAsia="仿宋" w:cs="Mongolian Baiti"/>
          <w:kern w:val="1"/>
          <w:sz w:val="32"/>
          <w:szCs w:val="32"/>
        </w:rPr>
        <w:t>住所：</w:t>
      </w:r>
      <w:r>
        <w:rPr>
          <w:rFonts w:ascii="仿宋" w:hAnsi="仿宋" w:eastAsia="仿宋" w:cs="Mongolian Baiti"/>
          <w:kern w:val="1"/>
          <w:sz w:val="32"/>
          <w:szCs w:val="32"/>
        </w:rPr>
        <w:t>武汉市江夏区山坡乡向阳二村</w:t>
      </w:r>
    </w:p>
    <w:p w14:paraId="4DB497F3">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法定代表人：</w:t>
      </w:r>
      <w:r>
        <w:rPr>
          <w:rFonts w:ascii="仿宋" w:hAnsi="仿宋" w:eastAsia="仿宋" w:cs="Mongolian Baiti"/>
          <w:kern w:val="1"/>
          <w:sz w:val="32"/>
          <w:szCs w:val="32"/>
        </w:rPr>
        <w:t>高国民</w:t>
      </w:r>
    </w:p>
    <w:p w14:paraId="49B34B8B">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9月25日对当事人登记住所进行了检查，查找不到该企业，通过当事人预留的电话号码也无法取得联系，为查清事实，2025年10月20日本局予以立案。现已调查终结。</w:t>
      </w:r>
    </w:p>
    <w:p w14:paraId="42AF4AD3">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查，当事人于2011年11月16日登记成立，自2024年07月08日至2025年08月08日，本局因当事人2年间未依照《企业信息公示暂行条例》第八条规定的期限公示年度报告，将当事人列入经营异常名录。2025年09月25日，本局执法人员对当事人登记经营场所进行实地核查，发现当事人登记住所武汉市江夏区山坡乡向阳二村没有该企业。通过注册登记时当事人留下的法定代表人、联系人的电话号码：13557654737，未联系到当事人。经进一步调查，武汉市江夏区山坡街道向阳二村村民委员会网格员称也未发现当事人经营迹象。结合区税务局提供拟吊销企业报税信息，因此认定2011年11月至今，当事人无正当理由长期停业未开展经营活动连续2年未按规定报送年度报告被列入经营异常名录未改正。</w:t>
      </w:r>
    </w:p>
    <w:p w14:paraId="66AB4462">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上述事实，主要有以下证据证明：</w:t>
      </w:r>
    </w:p>
    <w:p w14:paraId="12AE9ABE">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《武汉市市场监督管理局、国家税务总局武汉市税务局关于进一步明确长期停业未经营市场主体清理工作相关要求的通知》（武市监〔2022〕75号）文件1份，证明案件来源依据；</w:t>
      </w:r>
    </w:p>
    <w:p w14:paraId="5E0DDAEF">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《现场检查笔录》1份，照片打印件1张，证明本局执法人员对当事人登记住所进行实地检查，未发现有开展经营活动的事实；</w:t>
      </w:r>
    </w:p>
    <w:p w14:paraId="629FE622">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武汉市市场监管一体化综合监管平台内当事人注册登记信息截图1张，证明当事人注册登记情况；</w:t>
      </w:r>
    </w:p>
    <w:p w14:paraId="6EC59C07">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武汉市市场监管一体化综合监管平台企业公示年报信息查询截图打印件1张，证明当事人在2024年至2025年连续2年未按规定报送年度报告被列入经营异常名录未改正事实；</w:t>
      </w:r>
    </w:p>
    <w:p w14:paraId="2299C1F7">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江夏区市场监督管理局关于清理长期停业未经营市场主体公告》1份、《江夏区2025年长期停业未经营市场主体清理名单（109家）》1份、《江夏区税务局连续两年以上未年报税务申报信息核查名单202509203》1份，证明本局督促当事人办理补报年度报告且未进行纳税申报的事实。</w:t>
      </w:r>
    </w:p>
    <w:p w14:paraId="3DA9D9BE">
      <w:pPr>
        <w:keepNext w:val="0"/>
        <w:keepLines w:val="0"/>
        <w:pageBreakBefore w:val="0"/>
        <w:widowControl/>
        <w:numPr>
          <w:numId w:val="0"/>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因当事人不在登记住所经营，《行政处罚告知书》无法直接送达或是邮寄送达，遂采取公告方式进行送达。2025年12月5日，本局在江夏区人民政府政务网发布了《武汉市江夏区市场监督管理局行政处罚文书送达公告》（夏市监罚告〔2025〕332号），告知当事人拟作出行政处罚的事实、理由和依据，同时告知其依法享有陈述、申辩和申请听证的权利，当事人在法定期限内未提出陈述、申辩，也未申请听证。</w:t>
      </w:r>
    </w:p>
    <w:p w14:paraId="589AD4C0">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鉴于本局已通过多渠道联系当事人，但无法取得联系，本局认定当事人的情况属于通过登记的住所或经营场所无法取得联系。综合考虑违法行为的事实、性质、情节、社会危害程度、主管过错以及公平公正要求的方面，当事人上述违法行为无减轻或者从轻处罚的情形。</w:t>
      </w:r>
    </w:p>
    <w:p w14:paraId="40C2FB9D">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综上，当事人的行为违反了《企业信息公示暂行条例》第八条第一款的规定，依据《企业信息公示暂行条例》第十八条第一款的规定，本局决定对当事人给予以下处罚：吊销营业执照。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286A45D1">
      <w:pPr>
        <w:widowControl/>
        <w:suppressAutoHyphens/>
        <w:snapToGrid w:val="0"/>
        <w:spacing w:line="500" w:lineRule="exact"/>
        <w:ind w:right="1280"/>
        <w:rPr>
          <w:rFonts w:hint="eastAsia" w:ascii="仿宋" w:hAnsi="仿宋" w:eastAsia="仿宋" w:cs="仿宋"/>
          <w:color w:val="000000"/>
          <w:sz w:val="32"/>
          <w:szCs w:val="32"/>
        </w:rPr>
      </w:pPr>
    </w:p>
    <w:p w14:paraId="709BBA18">
      <w:pPr>
        <w:widowControl/>
        <w:suppressAutoHyphens/>
        <w:snapToGrid w:val="0"/>
        <w:spacing w:line="500" w:lineRule="exact"/>
        <w:ind w:right="1280"/>
        <w:rPr>
          <w:rFonts w:hint="eastAsia" w:ascii="仿宋" w:hAnsi="仿宋" w:eastAsia="仿宋" w:cs="仿宋"/>
          <w:color w:val="000000"/>
          <w:sz w:val="32"/>
          <w:szCs w:val="32"/>
        </w:rPr>
      </w:pPr>
      <w:bookmarkStart w:id="1" w:name="_GoBack"/>
      <w:bookmarkEnd w:id="1"/>
    </w:p>
    <w:p w14:paraId="2C1DC9C3">
      <w:pPr>
        <w:widowControl/>
        <w:suppressAutoHyphens/>
        <w:snapToGrid w:val="0"/>
        <w:spacing w:line="500" w:lineRule="exact"/>
        <w:ind w:firstLine="1600" w:firstLineChars="500"/>
        <w:jc w:val="right"/>
        <w:rPr>
          <w:rFonts w:hint="eastAsia" w:ascii="仿宋" w:hAnsi="仿宋" w:eastAsia="仿宋" w:cs="仿宋"/>
          <w:color w:val="000000"/>
          <w:sz w:val="32"/>
          <w:szCs w:val="32"/>
        </w:rPr>
      </w:pPr>
      <w:r>
        <w:rPr>
          <w:rFonts w:ascii="仿宋" w:hAnsi="仿宋" w:eastAsia="仿宋" w:cs="仿宋"/>
          <w:color w:val="000000"/>
          <w:sz w:val="32"/>
          <w:szCs w:val="32"/>
        </w:rPr>
        <w:t>武汉市江夏区市场监督管理局</w:t>
      </w:r>
    </w:p>
    <w:p w14:paraId="29B26D6F">
      <w:pPr>
        <w:widowControl/>
        <w:suppressAutoHyphens/>
        <w:snapToGrid w:val="0"/>
        <w:spacing w:line="500" w:lineRule="exact"/>
        <w:ind w:firstLine="5760" w:firstLineChars="180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（印 章） </w:t>
      </w:r>
    </w:p>
    <w:p w14:paraId="6A619EC4">
      <w:pPr>
        <w:widowControl/>
        <w:suppressAutoHyphens/>
        <w:snapToGrid w:val="0"/>
        <w:spacing w:line="500" w:lineRule="exact"/>
        <w:ind w:firstLine="64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2026年</w:t>
      </w:r>
      <w:r>
        <w:rPr>
          <w:rFonts w:ascii="仿宋" w:hAnsi="仿宋" w:eastAsia="仿宋" w:cs="仿宋"/>
          <w:color w:val="000000"/>
          <w:sz w:val="32"/>
          <w:szCs w:val="32"/>
        </w:rPr>
        <w:t>1</w:t>
      </w:r>
      <w:r>
        <w:rPr>
          <w:rFonts w:hint="eastAsia" w:ascii="仿宋" w:hAnsi="仿宋" w:eastAsia="仿宋" w:cs="仿宋"/>
          <w:color w:val="000000"/>
          <w:sz w:val="32"/>
          <w:szCs w:val="32"/>
        </w:rPr>
        <w:t>月</w:t>
      </w:r>
      <w:r>
        <w:rPr>
          <w:rFonts w:ascii="仿宋" w:hAnsi="仿宋" w:eastAsia="仿宋" w:cs="仿宋"/>
          <w:color w:val="000000"/>
          <w:sz w:val="32"/>
          <w:szCs w:val="32"/>
        </w:rPr>
        <w:t>15</w:t>
      </w:r>
      <w:r>
        <w:rPr>
          <w:rFonts w:hint="eastAsia" w:ascii="仿宋" w:hAnsi="仿宋" w:eastAsia="仿宋" w:cs="仿宋"/>
          <w:color w:val="000000"/>
          <w:sz w:val="32"/>
          <w:szCs w:val="32"/>
        </w:rPr>
        <w:t>日</w:t>
      </w:r>
    </w:p>
    <w:p w14:paraId="23FEE2DA">
      <w:pPr>
        <w:widowControl/>
        <w:suppressAutoHyphens/>
        <w:snapToGrid w:val="0"/>
        <w:spacing w:line="500" w:lineRule="exact"/>
        <w:ind w:firstLine="640"/>
        <w:rPr>
          <w:rFonts w:hint="eastAsia" w:ascii="仿宋" w:hAnsi="仿宋" w:eastAsia="仿宋" w:cs="仿宋"/>
          <w:color w:val="000000"/>
          <w:sz w:val="32"/>
          <w:szCs w:val="32"/>
        </w:rPr>
      </w:pPr>
    </w:p>
    <w:p w14:paraId="31A75F71">
      <w:pPr>
        <w:widowControl/>
        <w:suppressAutoHyphens/>
        <w:snapToGrid w:val="0"/>
        <w:spacing w:line="520" w:lineRule="exact"/>
        <w:jc w:val="center"/>
        <w:rPr>
          <w:rFonts w:hint="eastAsia" w:ascii="仿宋" w:hAnsi="仿宋" w:eastAsia="仿宋" w:cs="仿宋"/>
          <w:b/>
          <w:bCs/>
          <w:color w:val="000000"/>
          <w:sz w:val="32"/>
          <w:szCs w:val="32"/>
        </w:rPr>
      </w:pPr>
    </w:p>
    <w:p w14:paraId="672C89D2">
      <w:pPr>
        <w:widowControl/>
        <w:suppressAutoHyphens/>
        <w:snapToGrid w:val="0"/>
        <w:spacing w:line="520" w:lineRule="exact"/>
        <w:jc w:val="center"/>
        <w:rPr>
          <w:rFonts w:hint="eastAsia" w:ascii="仿宋" w:hAnsi="仿宋" w:eastAsia="仿宋" w:cs="仿宋"/>
          <w:b/>
          <w:bCs/>
          <w:color w:val="000000"/>
          <w:sz w:val="32"/>
          <w:szCs w:val="32"/>
        </w:rPr>
      </w:pPr>
    </w:p>
    <w:p w14:paraId="0B73336F">
      <w:pPr>
        <w:widowControl/>
        <w:suppressAutoHyphens/>
        <w:snapToGrid w:val="0"/>
        <w:spacing w:line="520" w:lineRule="exact"/>
        <w:jc w:val="both"/>
        <w:rPr>
          <w:rFonts w:hint="eastAsia" w:ascii="仿宋" w:hAnsi="仿宋" w:eastAsia="仿宋" w:cs="仿宋"/>
          <w:b/>
          <w:bCs/>
          <w:color w:val="000000"/>
          <w:sz w:val="32"/>
          <w:szCs w:val="32"/>
        </w:rPr>
      </w:pPr>
    </w:p>
    <w:p w14:paraId="625BBBF5">
      <w:pPr>
        <w:widowControl/>
        <w:suppressAutoHyphens/>
        <w:snapToGrid w:val="0"/>
        <w:spacing w:line="520" w:lineRule="exact"/>
        <w:jc w:val="center"/>
        <w:rPr>
          <w:rFonts w:hint="eastAsia" w:ascii="仿宋" w:hAnsi="仿宋" w:eastAsia="仿宋" w:cs="仿宋"/>
          <w:b/>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r>
        <w:rPr>
          <w:rFonts w:hint="eastAsia" w:ascii="仿宋" w:hAnsi="仿宋" w:eastAsia="仿宋" w:cs="仿宋"/>
          <w:b/>
          <w:bCs/>
          <w:color w:val="000000"/>
          <w:sz w:val="32"/>
          <w:szCs w:val="32"/>
        </w:rPr>
        <w:t>（市场监管部门将依法向社会公开本行政处罚决定信息）</w:t>
      </w:r>
    </w:p>
    <w:p w14:paraId="12C2F3A0">
      <w:pPr>
        <w:widowControl/>
        <w:suppressAutoHyphens/>
        <w:snapToGrid w:val="0"/>
        <w:spacing w:line="52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Heiti SC Light">
    <w:altName w:val="方正书宋_GBK"/>
    <w:panose1 w:val="00000000000000000000"/>
    <w:charset w:val="80"/>
    <w:family w:val="auto"/>
    <w:pitch w:val="default"/>
    <w:sig w:usb0="00000000" w:usb1="00000000" w:usb2="00000010" w:usb3="00000000" w:csb0="003E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590D"/>
    <w:multiLevelType w:val="singleLevel"/>
    <w:tmpl w:val="FFBE590D"/>
    <w:lvl w:ilvl="0" w:tentative="0">
      <w:start w:val="1"/>
      <w:numFmt w:val="decimal"/>
      <w:lvlText w:val="%1."/>
      <w:lvlJc w:val="left"/>
      <w:pPr>
        <w:tabs>
          <w:tab w:val="left" w:pos="312"/>
        </w:tabs>
      </w:pPr>
    </w:lvl>
  </w:abstractNum>
  <w:abstractNum w:abstractNumId="1">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3">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3FB1EC2D"/>
    <w:rsid w:val="3FDFE841"/>
    <w:rsid w:val="9F3F8EF9"/>
    <w:rsid w:val="DFF81D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c173="http://schemas.microsoft.com/office/drawing/2017/03/chart" xmlns:wp15="http://schemas.microsoft.com/office/word/2012/wordprocessingDrawing" xmlns:a16svg="http://schemas.microsoft.com/office/drawing/2016/SVG/main" xmlns:w16se="http://schemas.microsoft.com/office/word/2015/wordml/symex" xmlns:a="http://schemas.openxmlformats.org/drawingml/2006/main" xmlns:xvml="urn:schemas-microsoft-com:office:excel" xmlns:c="http://schemas.openxmlformats.org/drawingml/2006/chart" xmlns:comp="http://schemas.openxmlformats.org/drawingml/2006/compatibility" xmlns:cppr="http://schemas.microsoft.com/office/2006/coverPageProps" xmlns:m="http://schemas.openxmlformats.org/officeDocument/2006/math" xmlns:o="urn:schemas-microsoft-com:office:office" xmlns:r="http://schemas.openxmlformats.org/officeDocument/2006/relationships" xmlns:c16ac="http://schemas.microsoft.com/office/drawing/2014/chart/ac" xmlns:v="urn:schemas-microsoft-com:vml" xmlns:w="http://schemas.openxmlformats.org/wordprocessingml/2006/main" xmlns:pic="http://schemas.openxmlformats.org/drawingml/2006/picture" xmlns:wpc="http://schemas.microsoft.com/office/word/2010/wordprocessingCanvas" xmlns:c14="http://schemas.microsoft.com/office/drawing/2007/8/2/chart" xmlns:we="http://schemas.microsoft.com/office/webextensions/webextension/2010/11" xmlns:c15="http://schemas.microsoft.com/office/drawing/2012/chart" xmlns:wpg="http://schemas.microsoft.com/office/word/2010/wordprocessingGroup" xmlns:a13cmd="http://schemas.microsoft.com/office/drawing/2013/main/command" xmlns:c16="http://schemas.microsoft.com/office/drawing/2014/chart" xmlns:an18="http://schemas.microsoft.com/office/drawing/2018/animation" xmlns:wp="http://schemas.openxmlformats.org/drawingml/2006/wordprocessingDrawing" xmlns:anam3d="http://schemas.microsoft.com/office/drawing/2018/animation/model3d" xmlns:wps="http://schemas.microsoft.com/office/word/2010/wordprocessingShape" xmlns:sl="http://schemas.openxmlformats.org/schemaLibrary/2006/main" xmlns:msink="http://schemas.microsoft.com/ink/2010/main" xmlns:iact="http://schemas.microsoft.com/office/powerpoint/2014/inkAction" xmlns:adec="http://schemas.microsoft.com/office/drawing/2017/decorative" xmlns:a14="http://schemas.microsoft.com/office/drawing/2010/main" xmlns:w16cid="http://schemas.microsoft.com/office/word/2016/wordml/cid" xmlns:a15="http://schemas.microsoft.com/office/drawing/2012/main" xmlns:a16="http://schemas.microsoft.com/office/drawing/2014/main" xmlns:wetp="http://schemas.microsoft.com/office/webextensions/taskpanes/2010/11" xmlns:cs="http://schemas.microsoft.com/office/drawing/2012/chartStyle" xmlns:lc="http://schemas.openxmlformats.org/drawingml/2006/lockedCanvas" xmlns:cdr14="http://schemas.microsoft.com/office/drawing/2010/chartDrawing" xmlns:dsp="http://schemas.microsoft.com/office/drawing/2008/diagram" xmlns:cx="http://schemas.microsoft.com/office/drawing/2014/chartex" xmlns:oda="http://opendope.org/answers" xmlns:odc="http://opendope.org/conditions" xmlns:pvml="urn:schemas-microsoft-com:office:powerpoint" xmlns:am3d="http://schemas.microsoft.com/office/drawing/2017/model3d" xmlns:odi="http://opendope.org/components" xmlns:wne="http://schemas.microsoft.com/office/word/2006/wordml" xmlns:ns38="http://www.w3.org/1998/Math/MathML" xmlns:pic14="http://schemas.microsoft.com/office/drawing/2010/picture" xmlns:ns39="http://www.w3.org/2003/InkML" xmlns:cdr="http://schemas.openxmlformats.org/drawingml/2006/chartDrawing" xmlns:dgm="http://schemas.openxmlformats.org/drawingml/2006/diagram" xmlns:odq="http://opendope.org/questions" xmlns:dgm1611="http://schemas.microsoft.com/office/drawing/2016/11/diagram" xmlns:dgm1612="http://schemas.microsoft.com/office/drawing/2016/12/diagram" xmlns:xdr="http://schemas.openxmlformats.org/drawingml/2006/spreadsheetDrawing" xmlns:thm15="http://schemas.microsoft.com/office/thememl/2012/main" xmlns:odgm="http://opendope.org/SmartArt/DataHierarchy" xmlns:odx="http://opendope.org/xpaths" xmlns:mc="http://schemas.openxmlformats.org/markup-compatibility/2006" xmlns:a1611="http://schemas.microsoft.com/office/drawing/2016/11/main" xmlns:w10="urn:schemas-microsoft-com:office:word" xmlns:a18hc="http://schemas.microsoft.com/office/drawing/2018/hyperlinkcolor" xmlns:w14="http://schemas.microsoft.com/office/word/2010/wordml" xmlns:dgm14="http://schemas.microsoft.com/office/drawing/2010/diagram" xmlns:w15="http://schemas.microsoft.com/office/word/2012/wordml" xmlns:wp14="http://schemas.microsoft.com/office/word/2010/wordprocessingDrawing"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4</Pages>
  <Words>148</Words>
  <Characters>847</Characters>
  <Lines>7</Lines>
  <Paragraphs>1</Paragraphs>
  <TotalTime>303</TotalTime>
  <ScaleCrop>false</ScaleCrop>
  <LinksUpToDate>false</LinksUpToDate>
  <CharactersWithSpaces>994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2020-06-24T15:50:00Z</dcterms:created>
  <dc:creator>yk</dc:creator>
  <cp:lastModifiedBy>greatwall</cp:lastModifiedBy>
  <cp:lastPrinted>2016-03-07T16:24:00Z</cp:lastPrinted>
  <dcterms:modified xsi:type="dcterms:W3CDTF">2026-01-15T10:58:49Z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ABF2596B201E962FD3576869C8A0B0EB_42</vt:lpwstr>
  </property>
</Properties>
</file>