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spacing w:before="296" w:beforeLines="50" w:line="500" w:lineRule="exact"/>
        <w:jc w:val="center"/>
        <w:rPr>
          <w:rFonts w:hint="eastAsia" w:ascii="仿宋" w:hAnsi="仿宋" w:eastAsia="仿宋" w:cs="仿宋_GB2312"/>
          <w:sz w:val="32"/>
          <w:szCs w:val="32"/>
          <w:lang w:val="en-US" w:eastAsia="zh-CN"/>
        </w:rPr>
      </w:pPr>
      <w:bookmarkStart w:id="0" w:name="OLE_LINK1"/>
      <w:r>
        <w:rPr>
          <w:rFonts w:ascii="仿宋" w:hAnsi="仿宋" w:eastAsia="仿宋" w:cs="仿宋_GB2312"/>
          <w:sz w:val="32"/>
          <w:szCs w:val="32"/>
          <w:lang w:val="en-US" w:eastAsia="zh-CN"/>
        </w:rPr>
        <w:t>夏</w:t>
      </w:r>
      <w:r>
        <w:rPr>
          <w:rFonts w:hint="eastAsia" w:ascii="仿宋" w:hAnsi="仿宋" w:eastAsia="仿宋" w:cs="仿宋_GB2312"/>
          <w:sz w:val="32"/>
          <w:szCs w:val="32"/>
          <w:lang w:val="en-US" w:eastAsia="zh-CN"/>
        </w:rPr>
        <w:t>市监处罚〔</w:t>
      </w:r>
      <w:r>
        <w:rPr>
          <w:rFonts w:ascii="仿宋" w:hAnsi="仿宋" w:eastAsia="仿宋" w:cs="仿宋_GB2312"/>
          <w:sz w:val="32"/>
          <w:szCs w:val="32"/>
          <w:lang w:val="en-US" w:eastAsia="zh-CN"/>
        </w:rPr>
        <w:t>2026</w:t>
      </w:r>
      <w:r>
        <w:rPr>
          <w:rFonts w:hint="eastAsia" w:ascii="仿宋" w:hAnsi="仿宋" w:eastAsia="仿宋" w:cs="仿宋_GB2312"/>
          <w:sz w:val="32"/>
          <w:szCs w:val="32"/>
          <w:lang w:val="en-US" w:eastAsia="zh-CN"/>
        </w:rPr>
        <w:t>〕20号</w:t>
      </w:r>
    </w:p>
    <w:p w14:paraId="34FFA280">
      <w:pPr>
        <w:spacing w:before="296" w:beforeLines="50" w:line="500" w:lineRule="exact"/>
        <w:jc w:val="center"/>
        <w:rPr>
          <w:rFonts w:hint="eastAsia" w:ascii="仿宋" w:hAnsi="仿宋" w:eastAsia="仿宋" w:cs="仿宋_GB2312"/>
          <w:sz w:val="32"/>
          <w:szCs w:val="32"/>
          <w:lang w:val="en-US" w:eastAsia="zh-CN"/>
        </w:rPr>
      </w:pPr>
    </w:p>
    <w:bookmarkEnd w:id="0"/>
    <w:p w14:paraId="063BD282">
      <w:pPr>
        <w:keepNext w:val="0"/>
        <w:keepLines w:val="0"/>
        <w:pageBreakBefore w:val="0"/>
        <w:widowControl/>
        <w:suppressAutoHyphens/>
        <w:kinsoku/>
        <w:wordWrap/>
        <w:overflowPunct/>
        <w:topLinePunct w:val="0"/>
        <w:autoSpaceDE w:val="0"/>
        <w:autoSpaceDN w:val="0"/>
        <w:bidi w:val="0"/>
        <w:adjustRightInd/>
        <w:snapToGrid/>
        <w:spacing w:line="560" w:lineRule="exact"/>
        <w:textAlignment w:val="auto"/>
        <w:rPr>
          <w:rFonts w:hint="eastAsia" w:ascii="仿宋" w:hAnsi="仿宋" w:eastAsia="仿宋" w:cs="微软雅黑"/>
          <w:kern w:val="1"/>
          <w:sz w:val="32"/>
          <w:szCs w:val="32"/>
        </w:rPr>
      </w:pPr>
      <w:r>
        <w:rPr>
          <w:rFonts w:hint="eastAsia" w:ascii="仿宋" w:hAnsi="仿宋" w:eastAsia="仿宋" w:cs="Mongolian Baiti"/>
          <w:kern w:val="1"/>
          <w:sz w:val="32"/>
          <w:szCs w:val="32"/>
        </w:rPr>
        <w:t>当事人：湖北古村建设工程有限公司</w:t>
      </w:r>
    </w:p>
    <w:p w14:paraId="40077781">
      <w:pPr>
        <w:keepNext w:val="0"/>
        <w:keepLines w:val="0"/>
        <w:pageBreakBefore w:val="0"/>
        <w:widowControl/>
        <w:suppressAutoHyphens/>
        <w:kinsoku/>
        <w:wordWrap/>
        <w:overflowPunct/>
        <w:topLinePunct w:val="0"/>
        <w:autoSpaceDE w:val="0"/>
        <w:autoSpaceDN w:val="0"/>
        <w:bidi w:val="0"/>
        <w:adjustRightInd/>
        <w:snapToGrid/>
        <w:spacing w:line="560" w:lineRule="exact"/>
        <w:textAlignment w:val="auto"/>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统一社会信用代码：91420115MA4F094AX2</w:t>
      </w:r>
    </w:p>
    <w:p w14:paraId="79806521">
      <w:pPr>
        <w:keepNext w:val="0"/>
        <w:keepLines w:val="0"/>
        <w:pageBreakBefore w:val="0"/>
        <w:widowControl/>
        <w:suppressAutoHyphens/>
        <w:kinsoku/>
        <w:wordWrap/>
        <w:overflowPunct/>
        <w:topLinePunct w:val="0"/>
        <w:autoSpaceDE w:val="0"/>
        <w:autoSpaceDN w:val="0"/>
        <w:bidi w:val="0"/>
        <w:adjustRightInd/>
        <w:snapToGrid/>
        <w:spacing w:line="560" w:lineRule="exact"/>
        <w:textAlignment w:val="auto"/>
        <w:rPr>
          <w:rFonts w:hint="eastAsia" w:ascii="仿宋" w:hAnsi="仿宋" w:eastAsia="仿宋" w:cs="Mongolian Baiti"/>
          <w:kern w:val="1"/>
          <w:sz w:val="32"/>
          <w:szCs w:val="32"/>
        </w:rPr>
      </w:pPr>
      <w:r>
        <w:rPr>
          <w:rFonts w:hint="eastAsia" w:ascii="仿宋" w:hAnsi="仿宋" w:eastAsia="仿宋" w:cs="Mongolian Baiti"/>
          <w:kern w:val="1"/>
          <w:sz w:val="32"/>
          <w:szCs w:val="32"/>
        </w:rPr>
        <w:t>住所：湖北省武汉市江夏区法泗街斧山村鑫农湖大道6号</w:t>
      </w:r>
    </w:p>
    <w:p w14:paraId="243633F3">
      <w:pPr>
        <w:keepNext w:val="0"/>
        <w:keepLines w:val="0"/>
        <w:pageBreakBefore w:val="0"/>
        <w:widowControl/>
        <w:suppressAutoHyphens/>
        <w:kinsoku/>
        <w:wordWrap/>
        <w:overflowPunct/>
        <w:topLinePunct w:val="0"/>
        <w:autoSpaceDE w:val="0"/>
        <w:autoSpaceDN w:val="0"/>
        <w:bidi w:val="0"/>
        <w:adjustRightInd/>
        <w:snapToGrid/>
        <w:spacing w:line="560" w:lineRule="exact"/>
        <w:textAlignment w:val="auto"/>
        <w:rPr>
          <w:rFonts w:ascii="仿宋" w:hAnsi="仿宋" w:eastAsia="仿宋" w:cs="Mongolian Baiti"/>
          <w:kern w:val="1"/>
          <w:sz w:val="32"/>
          <w:szCs w:val="32"/>
        </w:rPr>
      </w:pPr>
      <w:r>
        <w:rPr>
          <w:rFonts w:hint="eastAsia" w:ascii="仿宋" w:hAnsi="仿宋" w:eastAsia="仿宋" w:cs="Mongolian Baiti"/>
          <w:kern w:val="1"/>
          <w:sz w:val="32"/>
          <w:szCs w:val="32"/>
        </w:rPr>
        <w:t>法定代表人：董家鸿</w:t>
      </w:r>
    </w:p>
    <w:p w14:paraId="5DFAE021">
      <w:pPr>
        <w:keepNext w:val="0"/>
        <w:keepLines w:val="0"/>
        <w:pageBreakBefore w:val="0"/>
        <w:widowControl/>
        <w:suppressAutoHyphens/>
        <w:kinsoku/>
        <w:wordWrap/>
        <w:topLinePunct w:val="0"/>
        <w:autoSpaceDE w:val="0"/>
        <w:autoSpaceDN w:val="0"/>
        <w:bidi w:val="0"/>
        <w:adjustRightInd/>
        <w:spacing w:line="560" w:lineRule="exact"/>
        <w:textAlignment w:val="auto"/>
        <w:rPr>
          <w:rFonts w:hint="eastAsia" w:ascii="仿宋" w:hAnsi="仿宋" w:eastAsia="仿宋" w:cs="Mongolian Baiti"/>
          <w:kern w:val="1"/>
          <w:sz w:val="32"/>
          <w:szCs w:val="32"/>
        </w:rPr>
      </w:pPr>
    </w:p>
    <w:p w14:paraId="4CCA0F1A">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_GB2312"/>
          <w:sz w:val="32"/>
          <w:szCs w:val="32"/>
        </w:rPr>
        <w:t>根据《武汉市市场监督管理局、国家税务总局武汉市税务局关于进一步明确长期停业未经营市场主体清理工作相关要求的通知》（武市监〔2022〕75号）文件要求，本局对连续两个及以上年度未依法报送年度报告且未进行纳税申报的企业开展清理工作。2025年8月1日，本局通过武汉市江夏区人民政府门户网站发布《江夏区市场监督</w:t>
      </w:r>
      <w:r>
        <w:rPr>
          <w:rFonts w:hint="eastAsia" w:ascii="仿宋" w:hAnsi="仿宋" w:eastAsia="仿宋" w:cs="仿宋_GB2312"/>
          <w:sz w:val="32"/>
          <w:szCs w:val="32"/>
          <w:lang w:eastAsia="zh-CN"/>
        </w:rPr>
        <w:t>管理</w:t>
      </w:r>
      <w:r>
        <w:rPr>
          <w:rFonts w:hint="eastAsia" w:ascii="仿宋" w:hAnsi="仿宋" w:eastAsia="仿宋" w:cs="仿宋_GB2312"/>
          <w:sz w:val="32"/>
          <w:szCs w:val="32"/>
        </w:rPr>
        <w:t>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日对当事人登记住所进行了检查，查找不到该企业，通过当事人预留的电话号码也无法取得联系，2025年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24</w:t>
      </w:r>
      <w:r>
        <w:rPr>
          <w:rFonts w:hint="eastAsia" w:ascii="仿宋" w:hAnsi="仿宋" w:eastAsia="仿宋" w:cs="仿宋_GB2312"/>
          <w:sz w:val="32"/>
          <w:szCs w:val="32"/>
        </w:rPr>
        <w:t>日，本局予以立案，案件现已调查终结</w:t>
      </w:r>
      <w:r>
        <w:rPr>
          <w:rFonts w:hint="eastAsia" w:ascii="仿宋" w:hAnsi="仿宋" w:eastAsia="仿宋" w:cs="仿宋_GB2312"/>
          <w:sz w:val="32"/>
          <w:szCs w:val="32"/>
          <w:lang w:eastAsia="zh-CN"/>
        </w:rPr>
        <w:t>。</w:t>
      </w:r>
    </w:p>
    <w:p w14:paraId="2927F28C">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eastAsia="zh-CN"/>
        </w:rPr>
        <w:t>经查，</w:t>
      </w:r>
      <w:r>
        <w:rPr>
          <w:rFonts w:hint="eastAsia" w:ascii="仿宋" w:hAnsi="仿宋" w:eastAsia="仿宋" w:cs="仿宋"/>
          <w:color w:val="auto"/>
          <w:sz w:val="32"/>
          <w:szCs w:val="32"/>
        </w:rPr>
        <w:t>当事人于</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日登记成立，</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日，当事人未依照《企业信息公示暂行条例》第八条规定的期限公示年度报告被列入经营异常名录，并向社会公示。202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日，本局执法人员对当事人经营注册场所进行检查，发现湖北省武汉市江夏区法泗街斧山村鑫农湖大道6号当事人登记住所没有该企业。</w:t>
      </w:r>
      <w:r>
        <w:rPr>
          <w:rFonts w:ascii="仿宋" w:hAnsi="仿宋" w:eastAsia="仿宋" w:cs="仿宋_GB2312"/>
          <w:sz w:val="32"/>
          <w:szCs w:val="32"/>
        </w:rPr>
        <w:t>拨打注册登记时当事人留下的电话</w:t>
      </w:r>
      <w:r>
        <w:rPr>
          <w:rFonts w:hint="eastAsia" w:ascii="仿宋" w:hAnsi="仿宋" w:eastAsia="仿宋" w:cs="仿宋_GB2312"/>
          <w:sz w:val="32"/>
          <w:szCs w:val="32"/>
          <w:lang w:eastAsia="zh-CN"/>
        </w:rPr>
        <w:t>：</w:t>
      </w:r>
      <w:r>
        <w:rPr>
          <w:rFonts w:hint="eastAsia" w:ascii="仿宋" w:hAnsi="仿宋" w:eastAsia="仿宋" w:cs="仿宋"/>
          <w:color w:val="auto"/>
          <w:sz w:val="32"/>
          <w:szCs w:val="32"/>
          <w:lang w:eastAsia="zh-CN"/>
        </w:rPr>
        <w:t>15071001500，未</w:t>
      </w:r>
      <w:r>
        <w:rPr>
          <w:rFonts w:ascii="仿宋" w:hAnsi="仿宋" w:eastAsia="仿宋" w:cs="仿宋_GB2312"/>
          <w:sz w:val="32"/>
          <w:szCs w:val="32"/>
        </w:rPr>
        <w:t>联系到当事人。</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日，国家税务总局江夏区税务局出具《</w:t>
      </w:r>
      <w:r>
        <w:rPr>
          <w:rFonts w:hint="eastAsia" w:ascii="仿宋" w:hAnsi="仿宋" w:eastAsia="仿宋" w:cs="仿宋"/>
          <w:color w:val="auto"/>
          <w:sz w:val="32"/>
          <w:szCs w:val="32"/>
          <w:lang w:eastAsia="zh-CN"/>
        </w:rPr>
        <w:t>连续两年以上未年报企业名单</w:t>
      </w:r>
      <w:r>
        <w:rPr>
          <w:rFonts w:hint="eastAsia" w:ascii="仿宋" w:hAnsi="仿宋" w:eastAsia="仿宋" w:cs="仿宋"/>
          <w:color w:val="auto"/>
          <w:sz w:val="32"/>
          <w:szCs w:val="32"/>
        </w:rPr>
        <w:t>》中，显示当事人未进行税务登记的事实。</w:t>
      </w:r>
    </w:p>
    <w:p w14:paraId="177F1836">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上述事实，主要有以下证据证明：</w:t>
      </w:r>
    </w:p>
    <w:p w14:paraId="32121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《武汉市市场监督管理局、国家税务总局武汉市税务局关于进一步明确长期停业未经营市场主体清理工作相关要求的通知》（武市监〔</w:t>
      </w:r>
      <w:r>
        <w:rPr>
          <w:rFonts w:hint="eastAsia" w:ascii="仿宋" w:hAnsi="仿宋" w:eastAsia="仿宋" w:cs="仿宋"/>
          <w:color w:val="auto"/>
          <w:sz w:val="32"/>
          <w:szCs w:val="32"/>
          <w:lang w:eastAsia="zh-CN"/>
        </w:rPr>
        <w:t>2022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75</w:t>
      </w:r>
      <w:r>
        <w:rPr>
          <w:rFonts w:hint="eastAsia" w:ascii="仿宋" w:hAnsi="仿宋" w:eastAsia="仿宋" w:cs="仿宋"/>
          <w:color w:val="auto"/>
          <w:sz w:val="32"/>
          <w:szCs w:val="32"/>
        </w:rPr>
        <w:t>号）文件</w:t>
      </w:r>
      <w:r>
        <w:rPr>
          <w:rFonts w:hint="eastAsia" w:ascii="仿宋" w:hAnsi="仿宋" w:eastAsia="仿宋" w:cs="仿宋"/>
          <w:color w:val="auto"/>
          <w:sz w:val="32"/>
          <w:szCs w:val="32"/>
          <w:lang w:eastAsia="zh-CN"/>
        </w:rPr>
        <w:t>1</w:t>
      </w:r>
      <w:r>
        <w:rPr>
          <w:rFonts w:hint="eastAsia" w:ascii="仿宋" w:hAnsi="仿宋" w:eastAsia="仿宋" w:cs="仿宋"/>
          <w:color w:val="auto"/>
          <w:sz w:val="32"/>
          <w:szCs w:val="32"/>
        </w:rPr>
        <w:t>份，证明案件来源依据</w:t>
      </w:r>
      <w:r>
        <w:rPr>
          <w:rFonts w:hint="eastAsia" w:ascii="仿宋" w:hAnsi="仿宋" w:eastAsia="仿宋" w:cs="仿宋"/>
          <w:color w:val="auto"/>
          <w:sz w:val="32"/>
          <w:szCs w:val="32"/>
          <w:lang w:eastAsia="zh-CN"/>
        </w:rPr>
        <w:t>；</w:t>
      </w:r>
    </w:p>
    <w:p w14:paraId="2380B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_GB2312"/>
          <w:sz w:val="32"/>
          <w:szCs w:val="32"/>
          <w:lang w:val="en-US" w:eastAsia="zh-CN"/>
        </w:rPr>
        <w:t>2.</w:t>
      </w:r>
      <w:r>
        <w:rPr>
          <w:rFonts w:ascii="仿宋" w:hAnsi="仿宋" w:eastAsia="仿宋" w:cs="仿宋_GB2312"/>
          <w:sz w:val="32"/>
          <w:szCs w:val="32"/>
        </w:rPr>
        <w:t>《现场笔录》1份及现场核查照片2张，证明本局执法人员对当事人登记住所现场进行核查，未发现有开展经营活动的事实；</w:t>
      </w:r>
    </w:p>
    <w:p w14:paraId="0B798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_GB2312"/>
          <w:sz w:val="32"/>
          <w:szCs w:val="32"/>
          <w:lang w:val="en-US" w:eastAsia="zh-CN"/>
        </w:rPr>
        <w:t>3.</w:t>
      </w:r>
      <w:r>
        <w:rPr>
          <w:rFonts w:ascii="仿宋" w:hAnsi="仿宋" w:eastAsia="仿宋" w:cs="仿宋_GB2312"/>
          <w:sz w:val="32"/>
          <w:szCs w:val="32"/>
        </w:rPr>
        <w:t>电话记录截图1</w:t>
      </w:r>
      <w:r>
        <w:rPr>
          <w:rFonts w:hint="eastAsia" w:ascii="仿宋" w:hAnsi="仿宋" w:eastAsia="仿宋" w:cs="仿宋_GB2312"/>
          <w:sz w:val="32"/>
          <w:szCs w:val="32"/>
          <w:lang w:eastAsia="zh-CN"/>
        </w:rPr>
        <w:t>份</w:t>
      </w:r>
      <w:r>
        <w:rPr>
          <w:rFonts w:ascii="仿宋" w:hAnsi="仿宋" w:eastAsia="仿宋" w:cs="仿宋_GB2312"/>
          <w:sz w:val="32"/>
          <w:szCs w:val="32"/>
        </w:rPr>
        <w:t>，证明当事人电话以及无法取得联系的事实；</w:t>
      </w:r>
    </w:p>
    <w:p w14:paraId="12055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sz w:val="32"/>
          <w:szCs w:val="32"/>
        </w:rPr>
        <w:t>武汉市一体化智慧市场监管平台截图打印件2张，证明当事人主体信息及其连续两年以上未申报年报的事实；</w:t>
      </w:r>
    </w:p>
    <w:p w14:paraId="78D6A6C6">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江夏区人民政府官网《江夏区市场监督管理局关于清理长期停业未经营市场主体公告》截图</w:t>
      </w:r>
      <w:r>
        <w:rPr>
          <w:rFonts w:hint="eastAsia" w:ascii="仿宋" w:hAnsi="仿宋" w:eastAsia="仿宋" w:cs="仿宋_GB2312"/>
          <w:sz w:val="32"/>
          <w:szCs w:val="32"/>
          <w:lang w:val="en-US" w:eastAsia="zh-CN"/>
        </w:rPr>
        <w:t>1份、</w:t>
      </w:r>
      <w:r>
        <w:rPr>
          <w:rFonts w:ascii="仿宋" w:hAnsi="仿宋" w:eastAsia="仿宋" w:cs="仿宋_GB2312"/>
          <w:sz w:val="32"/>
          <w:szCs w:val="32"/>
        </w:rPr>
        <w:t>《江夏区2025年长期停业未经营市场主体清理名单（109家）》1份、《江夏区税务局连续两年以上未年报税务申报信息核查名单202509203》1份，证明本局督促当事人办理补报年度报告且未进行纳税申报的</w:t>
      </w:r>
      <w:bookmarkStart w:id="1" w:name="_GoBack"/>
      <w:r>
        <w:rPr>
          <w:rFonts w:hint="eastAsia" w:ascii="仿宋" w:hAnsi="仿宋" w:eastAsia="仿宋" w:cs="仿宋_GB2312"/>
          <w:sz w:val="32"/>
          <w:szCs w:val="32"/>
          <w:lang w:eastAsia="zh-CN"/>
        </w:rPr>
        <w:t>事实</w:t>
      </w:r>
      <w:bookmarkEnd w:id="1"/>
      <w:r>
        <w:rPr>
          <w:rFonts w:ascii="仿宋" w:hAnsi="仿宋" w:eastAsia="仿宋" w:cs="仿宋_GB2312"/>
          <w:sz w:val="32"/>
          <w:szCs w:val="32"/>
        </w:rPr>
        <w:t>。</w:t>
      </w:r>
      <w:r>
        <w:rPr>
          <w:rFonts w:hint="eastAsia" w:ascii="仿宋" w:hAnsi="仿宋" w:eastAsia="仿宋" w:cs="仿宋_GB2312"/>
          <w:sz w:val="32"/>
          <w:szCs w:val="32"/>
        </w:rPr>
        <w:t>因当事人不在登记住所经营，《行政处罚告知书》无法直接送达或是邮寄送达，遂采取公告方式送达。2025年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26</w:t>
      </w:r>
      <w:r>
        <w:rPr>
          <w:rFonts w:hint="eastAsia" w:ascii="仿宋" w:hAnsi="仿宋" w:eastAsia="仿宋" w:cs="仿宋_GB2312"/>
          <w:sz w:val="32"/>
          <w:szCs w:val="32"/>
        </w:rPr>
        <w:t>日，本局在江夏区人民政府政务网发布了《江夏区市场监督管理局行政处罚告知公告》并附件《江夏区市场监督管理局行政处罚告知书》（夏市监罚告〔</w:t>
      </w:r>
      <w:r>
        <w:rPr>
          <w:rFonts w:hint="eastAsia" w:ascii="仿宋" w:hAnsi="仿宋" w:eastAsia="仿宋" w:cs="仿宋_GB2312"/>
          <w:sz w:val="32"/>
          <w:szCs w:val="32"/>
          <w:lang w:val="en-US" w:eastAsia="zh-CN"/>
        </w:rPr>
        <w:t>2026</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号），告知当事人拟作出行政处罚的事实、理由和依据，同时告知其依法享有陈述、申辩和申请听证的权利，当事人在法定期限内未提出陈述、申辩，也未申请听证。</w:t>
      </w:r>
    </w:p>
    <w:p w14:paraId="4542C80A">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本局认为，</w:t>
      </w:r>
      <w:r>
        <w:rPr>
          <w:rFonts w:hint="eastAsia" w:ascii="仿宋" w:hAnsi="仿宋" w:eastAsia="仿宋" w:cs="仿宋"/>
          <w:color w:val="000000"/>
          <w:sz w:val="32"/>
          <w:szCs w:val="32"/>
        </w:rPr>
        <w:t>《企业信息公示暂行条例》第八条第一款规定“企业应当于每年1月1日至6月30日，通过国家企业信用</w:t>
      </w:r>
      <w:r>
        <w:rPr>
          <w:rFonts w:hint="eastAsia" w:ascii="仿宋" w:hAnsi="仿宋" w:eastAsia="仿宋" w:cs="仿宋"/>
          <w:color w:val="000000"/>
          <w:sz w:val="32"/>
          <w:szCs w:val="32"/>
          <w:lang w:eastAsia="zh-CN"/>
        </w:rPr>
        <w:t>信息</w:t>
      </w:r>
      <w:r>
        <w:rPr>
          <w:rFonts w:hint="eastAsia" w:ascii="仿宋" w:hAnsi="仿宋" w:eastAsia="仿宋" w:cs="仿宋"/>
          <w:color w:val="000000"/>
          <w:sz w:val="32"/>
          <w:szCs w:val="32"/>
        </w:rPr>
        <w:t>公示系统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应当吊销当事人营业执照。</w:t>
      </w:r>
    </w:p>
    <w:p w14:paraId="59A7AFEB">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 w:val="32"/>
          <w:szCs w:val="32"/>
          <w:lang w:eastAsia="zh-CN"/>
        </w:rPr>
        <w:t>主观</w:t>
      </w:r>
      <w:r>
        <w:rPr>
          <w:rFonts w:hint="eastAsia" w:ascii="仿宋" w:hAnsi="仿宋" w:eastAsia="仿宋" w:cs="仿宋"/>
          <w:color w:val="000000"/>
          <w:sz w:val="32"/>
          <w:szCs w:val="32"/>
        </w:rPr>
        <w:t>过错以及公平公正要求的方面，当事人上述违法行为无减轻或者从轻处罚的情形。</w:t>
      </w:r>
    </w:p>
    <w:p w14:paraId="25E7CDD5">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综上，</w:t>
      </w:r>
      <w:r>
        <w:rPr>
          <w:rFonts w:hint="eastAsia" w:ascii="仿宋" w:hAnsi="仿宋" w:eastAsia="仿宋" w:cs="仿宋"/>
          <w:color w:val="000000"/>
          <w:sz w:val="32"/>
          <w:szCs w:val="32"/>
        </w:rPr>
        <w:t>当事人</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行为涉嫌违反了《企业信息公示暂行条例》第八条第一款的规定，依据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企业信息公示暂行条例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第十八条第一款</w:t>
      </w:r>
      <w:r>
        <w:rPr>
          <w:rFonts w:hint="eastAsia" w:ascii="仿宋" w:hAnsi="仿宋" w:eastAsia="仿宋" w:cs="仿宋"/>
          <w:color w:val="000000"/>
          <w:sz w:val="32"/>
          <w:szCs w:val="32"/>
          <w:lang w:eastAsia="zh-CN"/>
        </w:rPr>
        <w:t>之</w:t>
      </w:r>
      <w:r>
        <w:rPr>
          <w:rFonts w:hint="eastAsia" w:ascii="仿宋" w:hAnsi="仿宋" w:eastAsia="仿宋" w:cs="仿宋"/>
          <w:color w:val="000000"/>
          <w:sz w:val="32"/>
          <w:szCs w:val="32"/>
        </w:rPr>
        <w:t>规定，决定给予当事人吊销《营业执照》的处罚。</w:t>
      </w:r>
    </w:p>
    <w:p w14:paraId="286A45D1">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1B77DB08">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14:paraId="5F51296E">
      <w:pPr>
        <w:keepNext w:val="0"/>
        <w:keepLines w:val="0"/>
        <w:pageBreakBefore w:val="0"/>
        <w:widowControl/>
        <w:suppressAutoHyphens/>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14:paraId="29B26D6F">
      <w:pPr>
        <w:keepNext w:val="0"/>
        <w:keepLines w:val="0"/>
        <w:pageBreakBefore w:val="0"/>
        <w:widowControl/>
        <w:suppressAutoHyphens/>
        <w:kinsoku/>
        <w:wordWrap/>
        <w:topLinePunct w:val="0"/>
        <w:bidi w:val="0"/>
        <w:adjustRightInd/>
        <w:snapToGrid w:val="0"/>
        <w:spacing w:line="560" w:lineRule="exact"/>
        <w:ind w:firstLine="1600" w:firstLineChars="50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ascii="仿宋" w:hAnsi="仿宋" w:eastAsia="仿宋" w:cs="仿宋"/>
          <w:color w:val="000000"/>
          <w:sz w:val="32"/>
          <w:szCs w:val="32"/>
        </w:rPr>
        <w:t>武汉市江夏区市场监督管理局</w:t>
      </w:r>
      <w:r>
        <w:rPr>
          <w:rFonts w:hint="eastAsia" w:ascii="仿宋" w:hAnsi="仿宋" w:eastAsia="仿宋" w:cs="仿宋"/>
          <w:color w:val="000000"/>
          <w:sz w:val="32"/>
          <w:szCs w:val="32"/>
        </w:rPr>
        <w:t xml:space="preserve"> </w:t>
      </w:r>
    </w:p>
    <w:p w14:paraId="6A619EC4">
      <w:pPr>
        <w:keepNext w:val="0"/>
        <w:keepLines w:val="0"/>
        <w:pageBreakBefore w:val="0"/>
        <w:widowControl/>
        <w:suppressAutoHyphens/>
        <w:kinsoku/>
        <w:wordWrap/>
        <w:topLinePunct w:val="0"/>
        <w:bidi w:val="0"/>
        <w:adjustRightInd/>
        <w:snapToGrid w:val="0"/>
        <w:spacing w:line="560" w:lineRule="exact"/>
        <w:ind w:firstLine="64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2026年</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w:t>
      </w:r>
    </w:p>
    <w:p w14:paraId="735F9E99">
      <w:pPr>
        <w:keepNext w:val="0"/>
        <w:keepLines w:val="0"/>
        <w:pageBreakBefore w:val="0"/>
        <w:widowControl/>
        <w:suppressAutoHyphens/>
        <w:kinsoku/>
        <w:wordWrap/>
        <w:topLinePunct w:val="0"/>
        <w:bidi w:val="0"/>
        <w:adjustRightInd/>
        <w:snapToGrid w:val="0"/>
        <w:spacing w:line="560" w:lineRule="exact"/>
        <w:textAlignment w:val="auto"/>
        <w:rPr>
          <w:rFonts w:hint="eastAsia" w:ascii="仿宋" w:hAnsi="仿宋" w:eastAsia="仿宋" w:cs="仿宋"/>
          <w:b/>
          <w:bCs/>
          <w:color w:val="000000"/>
          <w:sz w:val="32"/>
          <w:szCs w:val="32"/>
        </w:rPr>
      </w:pPr>
    </w:p>
    <w:p w14:paraId="47ACAA14">
      <w:pPr>
        <w:keepNext w:val="0"/>
        <w:keepLines w:val="0"/>
        <w:pageBreakBefore w:val="0"/>
        <w:widowControl/>
        <w:suppressAutoHyphens/>
        <w:kinsoku/>
        <w:wordWrap/>
        <w:topLinePunct w:val="0"/>
        <w:bidi w:val="0"/>
        <w:adjustRightInd/>
        <w:snapToGrid w:val="0"/>
        <w:spacing w:line="560" w:lineRule="exact"/>
        <w:textAlignment w:val="auto"/>
        <w:rPr>
          <w:rFonts w:hint="eastAsia" w:ascii="仿宋" w:hAnsi="仿宋" w:eastAsia="仿宋" w:cs="仿宋"/>
          <w:b/>
          <w:bCs/>
          <w:color w:val="000000"/>
          <w:sz w:val="32"/>
          <w:szCs w:val="32"/>
        </w:rPr>
      </w:pPr>
    </w:p>
    <w:p w14:paraId="625BBBF5">
      <w:pPr>
        <w:keepNext w:val="0"/>
        <w:keepLines w:val="0"/>
        <w:pageBreakBefore w:val="0"/>
        <w:widowControl/>
        <w:suppressAutoHyphens/>
        <w:kinsoku/>
        <w:wordWrap/>
        <w:topLinePunct w:val="0"/>
        <w:bidi w:val="0"/>
        <w:adjustRightInd/>
        <w:snapToGrid w:val="0"/>
        <w:spacing w:line="560" w:lineRule="exact"/>
        <w:textAlignment w:val="auto"/>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851" w:gutter="0"/>
          <w:cols w:space="720" w:num="1"/>
          <w:titlePg/>
          <w:docGrid w:type="lines" w:linePitch="381" w:charSpace="0"/>
        </w:sectPr>
      </w:pPr>
      <w:r>
        <w:rPr>
          <w:rFonts w:hint="eastAsia" w:ascii="仿宋" w:hAnsi="仿宋" w:eastAsia="仿宋" w:cs="仿宋"/>
          <w:b/>
          <w:bCs/>
          <w:color w:val="000000"/>
          <w:sz w:val="32"/>
          <w:szCs w:val="32"/>
        </w:rPr>
        <w:t>（市场监管部门将依法向社会公开本行政处罚决定信息）</w:t>
      </w:r>
    </w:p>
    <w:p w14:paraId="12C2F3A0">
      <w:pPr>
        <w:widowControl/>
        <w:suppressAutoHyphens/>
        <w:snapToGrid w:val="0"/>
        <w:spacing w:line="240" w:lineRule="auto"/>
        <w:rPr>
          <w:rFonts w:hint="eastAsia" w:ascii="仿宋" w:hAnsi="仿宋" w:eastAsia="仿宋" w:cs="仿宋"/>
          <w:b/>
          <w:bCs/>
          <w:color w:val="000000"/>
          <w:szCs w:val="28"/>
        </w:rPr>
      </w:pP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0BBF23B6"/>
    <w:rsid w:val="10833B67"/>
    <w:rsid w:val="18407FD5"/>
    <w:rsid w:val="1D7902E3"/>
    <w:rsid w:val="2BBB06A2"/>
    <w:rsid w:val="3BBFB9FB"/>
    <w:rsid w:val="3FBB4911"/>
    <w:rsid w:val="477D222D"/>
    <w:rsid w:val="4A8F4C61"/>
    <w:rsid w:val="4F1162B1"/>
    <w:rsid w:val="5AABDBAE"/>
    <w:rsid w:val="5ED5C700"/>
    <w:rsid w:val="67ACB79F"/>
    <w:rsid w:val="73253B17"/>
    <w:rsid w:val="7BBAE7BB"/>
    <w:rsid w:val="7DBA23CD"/>
    <w:rsid w:val="7F3F9712"/>
    <w:rsid w:val="7FD21351"/>
    <w:rsid w:val="A6FFCADD"/>
    <w:rsid w:val="BA7FEE97"/>
    <w:rsid w:val="BF2F95DE"/>
    <w:rsid w:val="E304654C"/>
    <w:rsid w:val="E3F9A099"/>
    <w:rsid w:val="EFC79D4A"/>
    <w:rsid w:val="F7A9CEB4"/>
    <w:rsid w:val="FBFB1CE8"/>
    <w:rsid w:val="FDEBEDC2"/>
    <w:rsid w:val="FDF326A4"/>
    <w:rsid w:val="FE773B67"/>
    <w:rsid w:val="FF2D3B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msink="http://schemas.microsoft.com/ink/2010/main" xmlns:an18="http://schemas.microsoft.com/office/drawing/2018/animation" xmlns:pic="http://schemas.openxmlformats.org/drawingml/2006/picture" xmlns:wpc="http://schemas.microsoft.com/office/word/2010/wordprocessingCanvas" xmlns:w16cid="http://schemas.microsoft.com/office/word/2016/wordml/cid" xmlns:c14="http://schemas.microsoft.com/office/drawing/2007/8/2/chart" xmlns:a="http://schemas.openxmlformats.org/drawingml/2006/main" xmlns:c15="http://schemas.microsoft.com/office/drawing/2012/chart" xmlns:wpg="http://schemas.microsoft.com/office/word/2010/wordprocessingGroup" xmlns:c16="http://schemas.microsoft.com/office/drawing/2014/chart" xmlns:c="http://schemas.openxmlformats.org/drawingml/2006/chart" xmlns:cdr14="http://schemas.microsoft.com/office/drawing/2010/chartDrawing" xmlns:dgm1611="http://schemas.microsoft.com/office/drawing/2016/11/diagram" xmlns:dgm1612="http://schemas.microsoft.com/office/drawing/2016/12/diagram" xmlns:m="http://schemas.openxmlformats.org/officeDocument/2006/math" xmlns:wps="http://schemas.microsoft.com/office/word/2010/wordprocessingShape" xmlns:o="urn:schemas-microsoft-com:office:office" xmlns:r="http://schemas.openxmlformats.org/officeDocument/2006/relationships" xmlns:iact="http://schemas.microsoft.com/office/powerpoint/2014/inkAction" xmlns:v="urn:schemas-microsoft-com:vml" xmlns:w="http://schemas.openxmlformats.org/wordprocessingml/2006/main" xmlns:we="http://schemas.microsoft.com/office/webextensions/webextension/2010/11" xmlns:pic14="http://schemas.microsoft.com/office/drawing/2010/picture" xmlns:adec="http://schemas.microsoft.com/office/drawing/2017/decorative" xmlns:wetp="http://schemas.microsoft.com/office/webextensions/taskpanes/2010/11" xmlns:thm15="http://schemas.microsoft.com/office/thememl/2012/main" xmlns:wp="http://schemas.openxmlformats.org/drawingml/2006/wordprocessingDrawing" xmlns:sl="http://schemas.openxmlformats.org/schemaLibrary/2006/main" xmlns:a1611="http://schemas.microsoft.com/office/drawing/2016/11/main" xmlns:a14="http://schemas.microsoft.com/office/drawing/2010/main" xmlns:a15="http://schemas.microsoft.com/office/drawing/2012/main" xmlns:a16="http://schemas.microsoft.com/office/drawing/2014/main" xmlns:a18hc="http://schemas.microsoft.com/office/drawing/2018/hyperlinkcolor" xmlns:pvml="urn:schemas-microsoft-com:office:powerpoint" xmlns:dgm14="http://schemas.microsoft.com/office/drawing/2010/diagram" xmlns:dsp="http://schemas.microsoft.com/office/drawing/2008/diagram" xmlns:am3d="http://schemas.microsoft.com/office/drawing/2017/model3d" xmlns:a16svg="http://schemas.microsoft.com/office/drawing/2016/SVG/main" xmlns:oda="http://opendope.org/answers" xmlns:ns38="http://www.w3.org/1998/Math/MathML" xmlns:w16se="http://schemas.microsoft.com/office/word/2015/wordml/symex" xmlns:ns39="http://www.w3.org/2003/InkML" xmlns:odc="http://opendope.org/conditions" xmlns:odi="http://opendope.org/components" xmlns:wne="http://schemas.microsoft.com/office/word/2006/wordml" xmlns:odgm="http://opendope.org/SmartArt/DataHierarchy" xmlns:cdr="http://schemas.openxmlformats.org/drawingml/2006/chartDrawing" xmlns:dgm="http://schemas.openxmlformats.org/drawingml/2006/diagram" xmlns:odq="http://opendope.org/questions" xmlns:cs="http://schemas.microsoft.com/office/drawing/2012/chartStyle" xmlns:lc="http://schemas.openxmlformats.org/drawingml/2006/lockedCanvas" xmlns:xdr="http://schemas.openxmlformats.org/drawingml/2006/spreadsheetDrawing" xmlns:c16ac="http://schemas.microsoft.com/office/drawing/2014/chart/ac" xmlns:odx="http://opendope.org/xpaths" xmlns:cx="http://schemas.microsoft.com/office/drawing/2014/chartex" xmlns:wp14="http://schemas.microsoft.com/office/word/2010/wordprocessingDrawing" xmlns:wp15="http://schemas.microsoft.com/office/word/2012/wordprocessingDrawing" xmlns:c173="http://schemas.microsoft.com/office/drawing/2017/03/chart" xmlns:a13cmd="http://schemas.microsoft.com/office/drawing/2013/main/command" xmlns:w10="urn:schemas-microsoft-com:office:word" xmlns:xvml="urn:schemas-microsoft-com:office:excel" xmlns:w14="http://schemas.microsoft.com/office/word/2010/wordml" xmlns:w15="http://schemas.microsoft.com/office/word/2012/wordml" xmlns:comp="http://schemas.openxmlformats.org/drawingml/2006/compatibility" xmlns:anam3d="http://schemas.microsoft.com/office/drawing/2018/animation/model3d" xmlns:cppr="http://schemas.microsoft.com/office/2006/coverPageProps" xmlns:mc="http://schemas.openxmlformats.org/markup-compatibility/2006"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1740</Words>
  <Characters>1831</Characters>
  <Lines>7</Lines>
  <Paragraphs>1</Paragraphs>
  <TotalTime>89</TotalTime>
  <ScaleCrop>false</ScaleCrop>
  <LinksUpToDate>false</LinksUpToDate>
  <CharactersWithSpaces>1897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2020-06-25T23:50:00Z</dcterms:created>
  <dc:creator>yk</dc:creator>
  <cp:lastModifiedBy>进</cp:lastModifiedBy>
  <cp:lastPrinted>2016-03-09T00:24:00Z</cp:lastPrinted>
  <dcterms:modified xsi:type="dcterms:W3CDTF">2026-01-30T15:11:32Z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eyJoZGlkIjoiYjllNWQ3Nzk0YjFlNTc0ZTUwODk5MjMwMTc3MTQ3YWIiLCJ1c2VySWQiOiI0ODEwOTYwMjMifQ==</vt:lpwstr>
  </property>
  <property fmtid="{D5CDD505-2E9C-101B-9397-08002B2CF9AE}" pid="3" name="KSOProductBuildVer">
    <vt:lpwstr>2052-12.1.2.23578</vt:lpwstr>
  </property>
  <property fmtid="{D5CDD505-2E9C-101B-9397-08002B2CF9AE}" pid="4" name="ICV">
    <vt:lpwstr>920F5D37DBB54756B7E853CC98A32DA0_12</vt:lpwstr>
  </property>
</Properties>
</file>