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56C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firstLine="0" w:firstLineChars="0"/>
        <w:jc w:val="center"/>
        <w:textAlignment w:val="auto"/>
        <w:rPr>
          <w:rFonts w:hint="eastAsia" w:ascii="方正小标宋简体" w:hAnsi="方正小标宋简体" w:eastAsia="方正小标宋简体" w:cs="方正小标宋简体"/>
          <w:b w:val="0"/>
          <w:bCs w:val="0"/>
          <w:color w:val="333333"/>
          <w:sz w:val="44"/>
          <w:szCs w:val="44"/>
          <w:lang w:eastAsia="zh-CN"/>
        </w:rPr>
      </w:pPr>
    </w:p>
    <w:p w14:paraId="1FE9A4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firstLine="0" w:firstLineChars="0"/>
        <w:jc w:val="center"/>
        <w:textAlignment w:val="auto"/>
        <w:rPr>
          <w:rFonts w:hint="eastAsia" w:ascii="方正小标宋简体" w:hAnsi="方正小标宋简体" w:eastAsia="方正小标宋简体" w:cs="方正小标宋简体"/>
          <w:b w:val="0"/>
          <w:bCs w:val="0"/>
          <w:color w:val="333333"/>
          <w:sz w:val="44"/>
          <w:szCs w:val="44"/>
          <w:lang w:eastAsia="zh-CN"/>
        </w:rPr>
      </w:pPr>
    </w:p>
    <w:p w14:paraId="342B7B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firstLine="0" w:firstLineChars="0"/>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eastAsia="zh-CN"/>
        </w:rPr>
        <w:t>武汉市生态环境局</w:t>
      </w:r>
      <w:r>
        <w:rPr>
          <w:rFonts w:hint="eastAsia" w:ascii="方正小标宋简体" w:hAnsi="方正小标宋简体" w:eastAsia="方正小标宋简体" w:cs="方正小标宋简体"/>
          <w:b w:val="0"/>
          <w:bCs w:val="0"/>
          <w:color w:val="333333"/>
          <w:sz w:val="44"/>
          <w:szCs w:val="44"/>
        </w:rPr>
        <w:t>江夏区</w:t>
      </w:r>
      <w:r>
        <w:rPr>
          <w:rFonts w:hint="eastAsia" w:ascii="方正小标宋简体" w:hAnsi="方正小标宋简体" w:eastAsia="方正小标宋简体" w:cs="方正小标宋简体"/>
          <w:b w:val="0"/>
          <w:bCs w:val="0"/>
          <w:color w:val="333333"/>
          <w:sz w:val="44"/>
          <w:szCs w:val="44"/>
          <w:lang w:eastAsia="zh-CN"/>
        </w:rPr>
        <w:t>分局2025</w:t>
      </w:r>
      <w:r>
        <w:rPr>
          <w:rFonts w:hint="eastAsia" w:ascii="方正小标宋简体" w:hAnsi="方正小标宋简体" w:eastAsia="方正小标宋简体" w:cs="方正小标宋简体"/>
          <w:b w:val="0"/>
          <w:bCs w:val="0"/>
          <w:color w:val="333333"/>
          <w:sz w:val="44"/>
          <w:szCs w:val="44"/>
        </w:rPr>
        <w:t>年</w:t>
      </w:r>
      <w:r>
        <w:rPr>
          <w:rFonts w:hint="eastAsia" w:ascii="方正小标宋简体" w:hAnsi="方正小标宋简体" w:eastAsia="方正小标宋简体" w:cs="方正小标宋简体"/>
          <w:b w:val="0"/>
          <w:bCs w:val="0"/>
          <w:color w:val="333333"/>
          <w:sz w:val="44"/>
          <w:szCs w:val="44"/>
        </w:rPr>
        <w:br w:type="textWrapping"/>
      </w:r>
      <w:r>
        <w:rPr>
          <w:rFonts w:hint="eastAsia" w:ascii="方正小标宋简体" w:hAnsi="方正小标宋简体" w:eastAsia="方正小标宋简体" w:cs="方正小标宋简体"/>
          <w:b w:val="0"/>
          <w:bCs w:val="0"/>
          <w:color w:val="333333"/>
          <w:sz w:val="44"/>
          <w:szCs w:val="44"/>
        </w:rPr>
        <w:t>政府信息公开工作年度报告</w:t>
      </w:r>
    </w:p>
    <w:p w14:paraId="71B8D5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firstLine="0" w:firstLineChars="0"/>
        <w:jc w:val="center"/>
        <w:textAlignment w:val="auto"/>
        <w:rPr>
          <w:rFonts w:hint="eastAsia" w:ascii="楷体_GB2312" w:hAnsi="楷体_GB2312" w:eastAsia="楷体_GB2312" w:cs="楷体_GB2312"/>
          <w:b w:val="0"/>
          <w:bCs w:val="0"/>
          <w:color w:val="333333"/>
          <w:sz w:val="32"/>
          <w:szCs w:val="32"/>
          <w:lang w:eastAsia="zh-CN"/>
        </w:rPr>
      </w:pPr>
      <w:bookmarkStart w:id="0" w:name="_GoBack"/>
      <w:bookmarkEnd w:id="0"/>
    </w:p>
    <w:p w14:paraId="06805BFC">
      <w:pPr>
        <w:bidi w:val="0"/>
        <w:rPr>
          <w:rFonts w:hint="default"/>
        </w:rPr>
      </w:pPr>
      <w:r>
        <w:rPr>
          <w:rFonts w:hint="default"/>
        </w:rPr>
        <w:t>根据《中华人民共和国政府信息公开条例》（以下简称《条例》）要求，结合我</w:t>
      </w:r>
      <w:r>
        <w:rPr>
          <w:rFonts w:hint="eastAsia"/>
          <w:lang w:eastAsia="zh-CN"/>
        </w:rPr>
        <w:t>局</w:t>
      </w:r>
      <w:r>
        <w:rPr>
          <w:rFonts w:hint="default"/>
          <w:lang w:eastAsia="zh-CN"/>
        </w:rPr>
        <w:t>2025</w:t>
      </w:r>
      <w:r>
        <w:rPr>
          <w:rFonts w:hint="default"/>
        </w:rPr>
        <w:t>年度政务公开工作，编制本报告</w:t>
      </w:r>
      <w:r>
        <w:rPr>
          <w:rFonts w:hint="default"/>
          <w:lang w:eastAsia="zh-CN"/>
        </w:rPr>
        <w:t>。本报告所列</w:t>
      </w:r>
      <w:r>
        <w:rPr>
          <w:rFonts w:hint="default"/>
        </w:rPr>
        <w:t>数据统计期限自</w:t>
      </w:r>
      <w:r>
        <w:rPr>
          <w:rFonts w:hint="default"/>
          <w:lang w:eastAsia="zh-CN"/>
        </w:rPr>
        <w:t>2025</w:t>
      </w:r>
      <w:r>
        <w:rPr>
          <w:rFonts w:hint="default"/>
        </w:rPr>
        <w:t>年1月1日至</w:t>
      </w:r>
      <w:r>
        <w:rPr>
          <w:rFonts w:hint="default"/>
          <w:lang w:eastAsia="zh-CN"/>
        </w:rPr>
        <w:t>2025</w:t>
      </w:r>
      <w:r>
        <w:rPr>
          <w:rFonts w:hint="default"/>
        </w:rPr>
        <w:t>年12月31日止。</w:t>
      </w:r>
    </w:p>
    <w:p w14:paraId="076C7B6C">
      <w:pPr>
        <w:pStyle w:val="2"/>
        <w:bidi w:val="0"/>
        <w:rPr>
          <w:rFonts w:hint="eastAsia"/>
        </w:rPr>
      </w:pPr>
      <w:r>
        <w:rPr>
          <w:rFonts w:hint="eastAsia"/>
        </w:rPr>
        <w:t>一、总体情况</w:t>
      </w:r>
    </w:p>
    <w:p w14:paraId="299F7EA7">
      <w:pPr>
        <w:bidi w:val="0"/>
        <w:rPr>
          <w:rFonts w:hint="eastAsia"/>
        </w:rPr>
      </w:pPr>
      <w:r>
        <w:rPr>
          <w:rFonts w:hint="eastAsia"/>
          <w:lang w:eastAsia="zh-CN"/>
        </w:rPr>
        <w:t>2025</w:t>
      </w:r>
      <w:r>
        <w:rPr>
          <w:rFonts w:hint="eastAsia"/>
        </w:rPr>
        <w:t>年，</w:t>
      </w:r>
      <w:r>
        <w:rPr>
          <w:rFonts w:hint="eastAsia"/>
          <w:lang w:eastAsia="zh-CN"/>
        </w:rPr>
        <w:t>江夏区生态环境分局</w:t>
      </w:r>
      <w:r>
        <w:rPr>
          <w:rFonts w:hint="eastAsia"/>
        </w:rPr>
        <w:t>认真贯彻落实《条例》及有关文件精神，按照公开、公正、规范、高效、便民的基本要求，坚持依法公开、真实公正、讲求实效、利于监督的原则，不断拓展公开内容，扎实推进政府信息公开工作，为社会提供方便、快捷的政府信息公开服务。</w:t>
      </w:r>
    </w:p>
    <w:p w14:paraId="4E90790F">
      <w:pPr>
        <w:bidi w:val="0"/>
        <w:rPr>
          <w:rFonts w:hint="eastAsia"/>
          <w:lang w:eastAsia="zh-CN"/>
        </w:rPr>
      </w:pP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政府信息主动公开情况。</w:t>
      </w:r>
      <w:r>
        <w:rPr>
          <w:rFonts w:hint="eastAsia"/>
          <w:lang w:val="en-US" w:eastAsia="zh-CN"/>
        </w:rPr>
        <w:t>我局认真贯彻落实国家、省、市关于做好政府信息公开工作的安排部署，依据</w:t>
      </w:r>
      <w:r>
        <w:rPr>
          <w:rFonts w:hint="default"/>
          <w:lang w:eastAsia="zh-CN"/>
        </w:rPr>
        <w:t>《条例》</w:t>
      </w:r>
      <w:r>
        <w:rPr>
          <w:rFonts w:hint="eastAsia"/>
          <w:lang w:val="en-US" w:eastAsia="zh-CN"/>
        </w:rPr>
        <w:t>规定，依托“武汉市江夏区人民政府网站”（以下简称“区政府网站”）、“武汉市生态环境局网站”等渠道作为政府信息公开的平台，主动公开发布信息257条。其中重点领域46条，行政许可204条，行政处罚7条。</w:t>
      </w:r>
    </w:p>
    <w:p w14:paraId="78CC7E40">
      <w:pPr>
        <w:bidi w:val="0"/>
        <w:rPr>
          <w:rFonts w:hint="eastAsia"/>
          <w:lang w:eastAsia="zh-CN"/>
        </w:rPr>
      </w:pPr>
      <w:r>
        <w:rPr>
          <w:rFonts w:hint="eastAsia" w:ascii="楷体_GB2312" w:hAnsi="楷体_GB2312" w:eastAsia="楷体_GB2312" w:cs="楷体_GB2312"/>
          <w:lang w:val="en-US" w:eastAsia="zh-CN"/>
        </w:rPr>
        <w:t>（二）依申请公开情况。</w:t>
      </w:r>
      <w:r>
        <w:rPr>
          <w:rFonts w:hint="eastAsia"/>
          <w:lang w:eastAsia="zh-CN"/>
        </w:rPr>
        <w:t>2025年，</w:t>
      </w:r>
      <w:r>
        <w:rPr>
          <w:rFonts w:hint="eastAsia"/>
          <w:lang w:val="en-US" w:eastAsia="zh-CN"/>
        </w:rPr>
        <w:t>我局</w:t>
      </w:r>
      <w:r>
        <w:rPr>
          <w:rFonts w:hint="eastAsia"/>
          <w:lang w:eastAsia="zh-CN"/>
        </w:rPr>
        <w:t>规范依申请流程，确保答复流程规范，严格按照程序公开，新收政府信息公开申请</w:t>
      </w:r>
      <w:r>
        <w:rPr>
          <w:rFonts w:hint="eastAsia"/>
          <w:lang w:val="en-US" w:eastAsia="zh-CN"/>
        </w:rPr>
        <w:t>1</w:t>
      </w:r>
      <w:r>
        <w:rPr>
          <w:rFonts w:hint="eastAsia"/>
          <w:lang w:eastAsia="zh-CN"/>
        </w:rPr>
        <w:t>件，上年结转政府信息公开申请</w:t>
      </w:r>
      <w:r>
        <w:rPr>
          <w:rFonts w:hint="eastAsia"/>
          <w:lang w:val="en-US" w:eastAsia="zh-CN"/>
        </w:rPr>
        <w:t>0</w:t>
      </w:r>
      <w:r>
        <w:rPr>
          <w:rFonts w:hint="eastAsia"/>
          <w:lang w:eastAsia="zh-CN"/>
        </w:rPr>
        <w:t>件，本年度办理</w:t>
      </w:r>
      <w:r>
        <w:rPr>
          <w:rFonts w:hint="eastAsia"/>
          <w:lang w:val="en-US" w:eastAsia="zh-CN"/>
        </w:rPr>
        <w:t>1</w:t>
      </w:r>
      <w:r>
        <w:rPr>
          <w:rFonts w:hint="eastAsia"/>
          <w:lang w:eastAsia="zh-CN"/>
        </w:rPr>
        <w:t>件，剩余</w:t>
      </w:r>
      <w:r>
        <w:rPr>
          <w:rFonts w:hint="eastAsia"/>
          <w:lang w:val="en-US" w:eastAsia="zh-CN"/>
        </w:rPr>
        <w:t>0</w:t>
      </w:r>
      <w:r>
        <w:rPr>
          <w:rFonts w:hint="eastAsia"/>
          <w:lang w:eastAsia="zh-CN"/>
        </w:rPr>
        <w:t>件结转下年度继续办理。</w:t>
      </w:r>
    </w:p>
    <w:p w14:paraId="60F60B07">
      <w:pPr>
        <w:bidi w:val="0"/>
        <w:rPr>
          <w:rFonts w:hint="eastAsia"/>
          <w:lang w:eastAsia="zh-CN"/>
        </w:rPr>
      </w:pPr>
      <w:r>
        <w:rPr>
          <w:rFonts w:hint="eastAsia" w:ascii="楷体_GB2312" w:hAnsi="楷体_GB2312" w:eastAsia="楷体_GB2312" w:cs="楷体_GB2312"/>
          <w:lang w:val="en-US" w:eastAsia="zh-CN"/>
        </w:rPr>
        <w:t>（三）政府信息管理情况。</w:t>
      </w:r>
      <w:r>
        <w:rPr>
          <w:rFonts w:hint="eastAsia"/>
          <w:lang w:eastAsia="zh-CN"/>
        </w:rPr>
        <w:t>紧紧围绕国家、省、市政务公开工作决策部署，统筹推进，强化落实保密审查要求，督促各责任主体单位严格执行“三审三校”信息发布审核流程，对公开信息进行层层审批把关，确保信息发布的时效性、准确性、规范性，全力保障人民群众的知情权、参与权、表达权和监督权，持续推进政务公开工作提质增效。</w:t>
      </w:r>
    </w:p>
    <w:p w14:paraId="26A5FCA9">
      <w:pPr>
        <w:pStyle w:val="2"/>
        <w:numPr>
          <w:ilvl w:val="0"/>
          <w:numId w:val="1"/>
        </w:numPr>
        <w:bidi w:val="0"/>
        <w:rPr>
          <w:rFonts w:hint="eastAsia"/>
        </w:rPr>
      </w:pPr>
      <w:r>
        <w:rPr>
          <w:rFonts w:hint="eastAsia"/>
        </w:rPr>
        <w:t>主动公开政府信息情况</w:t>
      </w:r>
    </w:p>
    <w:p w14:paraId="2174E350">
      <w:pPr>
        <w:bidi w:val="0"/>
        <w:rPr>
          <w:rFonts w:hint="eastAsia"/>
          <w:lang w:eastAsia="zh-CN"/>
        </w:rPr>
      </w:pPr>
      <w:r>
        <w:rPr>
          <w:rFonts w:hint="eastAsia"/>
          <w:lang w:eastAsia="zh-CN"/>
        </w:rPr>
        <w:t>全年发布行政规范性文件</w:t>
      </w:r>
      <w:r>
        <w:rPr>
          <w:rFonts w:hint="eastAsia"/>
          <w:lang w:val="en-US" w:eastAsia="zh-CN"/>
        </w:rPr>
        <w:t>0</w:t>
      </w:r>
      <w:r>
        <w:rPr>
          <w:rFonts w:hint="eastAsia"/>
          <w:lang w:eastAsia="zh-CN"/>
        </w:rPr>
        <w:t>件，废止</w:t>
      </w:r>
      <w:r>
        <w:rPr>
          <w:rFonts w:hint="eastAsia"/>
          <w:lang w:val="en-US" w:eastAsia="zh-CN"/>
        </w:rPr>
        <w:t>0</w:t>
      </w:r>
      <w:r>
        <w:rPr>
          <w:rFonts w:hint="eastAsia"/>
          <w:lang w:eastAsia="zh-CN"/>
        </w:rPr>
        <w:t>件，现行有效件</w:t>
      </w:r>
      <w:r>
        <w:rPr>
          <w:rFonts w:hint="eastAsia"/>
          <w:lang w:val="en-US" w:eastAsia="zh-CN"/>
        </w:rPr>
        <w:t>0</w:t>
      </w:r>
      <w:r>
        <w:rPr>
          <w:rFonts w:hint="eastAsia"/>
          <w:lang w:eastAsia="zh-CN"/>
        </w:rPr>
        <w:t>件。行政许可决定数</w:t>
      </w:r>
      <w:r>
        <w:rPr>
          <w:rFonts w:hint="eastAsia"/>
          <w:lang w:val="en-US" w:eastAsia="zh-CN"/>
        </w:rPr>
        <w:t>204</w:t>
      </w:r>
      <w:r>
        <w:rPr>
          <w:rFonts w:hint="eastAsia"/>
          <w:lang w:eastAsia="zh-CN"/>
        </w:rPr>
        <w:t>个，行政处罚决定数</w:t>
      </w:r>
      <w:r>
        <w:rPr>
          <w:rFonts w:hint="eastAsia"/>
          <w:lang w:val="en-US" w:eastAsia="zh-CN"/>
        </w:rPr>
        <w:t>7</w:t>
      </w:r>
      <w:r>
        <w:rPr>
          <w:rFonts w:hint="eastAsia"/>
          <w:lang w:eastAsia="zh-CN"/>
        </w:rPr>
        <w:t>个，行政强制决定数</w:t>
      </w:r>
      <w:r>
        <w:rPr>
          <w:rFonts w:hint="eastAsia"/>
          <w:lang w:val="en-US" w:eastAsia="zh-CN"/>
        </w:rPr>
        <w:t>0</w:t>
      </w:r>
      <w:r>
        <w:rPr>
          <w:rFonts w:hint="eastAsia"/>
          <w:lang w:eastAsia="zh-CN"/>
        </w:rPr>
        <w:t>个，行政事业性收费</w:t>
      </w:r>
      <w:r>
        <w:rPr>
          <w:rFonts w:hint="eastAsia"/>
          <w:lang w:val="en-US" w:eastAsia="zh-CN"/>
        </w:rPr>
        <w:t>0</w:t>
      </w:r>
      <w:r>
        <w:rPr>
          <w:rFonts w:hint="eastAsia"/>
          <w:lang w:eastAsia="zh-CN"/>
        </w:rPr>
        <w:t>万元。</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40"/>
        <w:gridCol w:w="2240"/>
        <w:gridCol w:w="2240"/>
      </w:tblGrid>
      <w:tr w14:paraId="2F51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6231E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第二十条第（一）项</w:t>
            </w:r>
          </w:p>
        </w:tc>
      </w:tr>
      <w:tr w14:paraId="0C0E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F2CC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C9CF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7E1B0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3AC9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现行有效件数</w:t>
            </w:r>
          </w:p>
        </w:tc>
      </w:tr>
      <w:tr w14:paraId="2C5A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A99EF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37CD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61F280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DD2C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5868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7C41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3F4D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42A6D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229D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6EAA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A299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第二十条第（五）项</w:t>
            </w:r>
          </w:p>
        </w:tc>
      </w:tr>
      <w:tr w14:paraId="6C62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4E056F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E58B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本年处理决定数量</w:t>
            </w:r>
          </w:p>
        </w:tc>
      </w:tr>
      <w:tr w14:paraId="3F63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79FBA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8161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204</w:t>
            </w:r>
          </w:p>
        </w:tc>
      </w:tr>
      <w:tr w14:paraId="67E4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FDA9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第二十条第（六）项</w:t>
            </w:r>
          </w:p>
        </w:tc>
      </w:tr>
      <w:tr w14:paraId="56B3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5CA2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E5B3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本年处理决定数量</w:t>
            </w:r>
          </w:p>
        </w:tc>
      </w:tr>
      <w:tr w14:paraId="4337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410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93D8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7</w:t>
            </w:r>
          </w:p>
        </w:tc>
      </w:tr>
      <w:tr w14:paraId="1D93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EAF10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2EFC3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5A80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99A9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第二十条第（八）项</w:t>
            </w:r>
          </w:p>
        </w:tc>
      </w:tr>
      <w:tr w14:paraId="1B77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DE97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8303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本年收费金额（单位：万元）</w:t>
            </w:r>
          </w:p>
        </w:tc>
      </w:tr>
      <w:tr w14:paraId="0190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1EF9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kern w:val="0"/>
                <w:sz w:val="21"/>
                <w:szCs w:val="21"/>
                <w:lang w:val="en-US" w:eastAsia="zh-CN"/>
                <w14:textFill>
                  <w14:solidFill>
                    <w14:schemeClr w14:val="tx1"/>
                  </w14:solidFill>
                </w14:textFill>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B8633C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bl>
    <w:p w14:paraId="33A67398">
      <w:pPr>
        <w:pStyle w:val="2"/>
        <w:bidi w:val="0"/>
        <w:rPr>
          <w:rFonts w:hint="eastAsia"/>
        </w:rPr>
      </w:pPr>
      <w:r>
        <w:rPr>
          <w:rFonts w:hint="eastAsia"/>
        </w:rPr>
        <w:t>三、收到和处理政府信息公开申请情况</w:t>
      </w:r>
    </w:p>
    <w:p w14:paraId="2E3BE761">
      <w:pPr>
        <w:bidi w:val="0"/>
        <w:rPr>
          <w:rFonts w:hint="eastAsia"/>
          <w:lang w:val="en-US" w:eastAsia="zh-CN"/>
        </w:rPr>
      </w:pPr>
      <w:r>
        <w:rPr>
          <w:rFonts w:hint="eastAsia"/>
          <w:lang w:eastAsia="zh-CN"/>
        </w:rPr>
        <w:t>江夏区生态环境分局本年新收到政府信息公开申请</w:t>
      </w:r>
      <w:r>
        <w:rPr>
          <w:rFonts w:hint="eastAsia"/>
          <w:lang w:val="en-US" w:eastAsia="zh-CN"/>
        </w:rPr>
        <w:t>1</w:t>
      </w:r>
      <w:r>
        <w:rPr>
          <w:rFonts w:hint="eastAsia"/>
          <w:lang w:eastAsia="zh-CN"/>
        </w:rPr>
        <w:t>件，上年转结政府信息公开申请</w:t>
      </w:r>
      <w:r>
        <w:rPr>
          <w:rFonts w:hint="eastAsia"/>
          <w:lang w:val="en-US" w:eastAsia="zh-CN"/>
        </w:rPr>
        <w:t>0</w:t>
      </w:r>
      <w:r>
        <w:rPr>
          <w:rFonts w:hint="eastAsia"/>
          <w:lang w:eastAsia="zh-CN"/>
        </w:rPr>
        <w:t>件，</w:t>
      </w:r>
      <w:r>
        <w:rPr>
          <w:rFonts w:hint="eastAsia"/>
          <w:lang w:val="en-US" w:eastAsia="zh-CN"/>
        </w:rPr>
        <w:t>其中</w:t>
      </w:r>
      <w:r>
        <w:rPr>
          <w:rFonts w:hint="eastAsia"/>
          <w:lang w:eastAsia="zh-CN"/>
        </w:rPr>
        <w:t>予以公开</w:t>
      </w:r>
      <w:r>
        <w:rPr>
          <w:rFonts w:hint="eastAsia"/>
          <w:lang w:val="en-US" w:eastAsia="zh-CN"/>
        </w:rPr>
        <w:t>1</w:t>
      </w:r>
      <w:r>
        <w:rPr>
          <w:rFonts w:hint="eastAsia"/>
          <w:lang w:eastAsia="zh-CN"/>
        </w:rPr>
        <w:t>件，部分公开</w:t>
      </w:r>
      <w:r>
        <w:rPr>
          <w:rFonts w:hint="eastAsia"/>
          <w:lang w:val="en-US" w:eastAsia="zh-CN"/>
        </w:rPr>
        <w:t>0件，不予公开0件，无法提供0件，不予处理0件，其他处理0件，结转下年度继续办理0件。</w:t>
      </w:r>
    </w:p>
    <w:tbl>
      <w:tblPr>
        <w:tblStyle w:val="7"/>
        <w:tblW w:w="499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1465"/>
        <w:gridCol w:w="1454"/>
        <w:gridCol w:w="1650"/>
        <w:gridCol w:w="729"/>
        <w:gridCol w:w="611"/>
        <w:gridCol w:w="653"/>
        <w:gridCol w:w="611"/>
        <w:gridCol w:w="611"/>
        <w:gridCol w:w="612"/>
        <w:gridCol w:w="612"/>
      </w:tblGrid>
      <w:tr w14:paraId="50B1B7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298"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75CCA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0"/>
                <w:szCs w:val="20"/>
                <w:u w:val="none"/>
                <w:lang w:val="en-US" w:eastAsia="zh-CN"/>
                <w14:textFill>
                  <w14:solidFill>
                    <w14:schemeClr w14:val="tx1"/>
                  </w14:solidFill>
                </w14:textFill>
              </w:rPr>
              <w:t>（本列数据的勾稽关系为：第一项加第二项之和，等于第三项加第四项之和）</w:t>
            </w:r>
          </w:p>
        </w:tc>
        <w:tc>
          <w:tcPr>
            <w:tcW w:w="4171" w:type="dxa"/>
            <w:gridSpan w:val="7"/>
            <w:tcBorders>
              <w:top w:val="single" w:color="auto" w:sz="8" w:space="0"/>
              <w:left w:val="nil"/>
              <w:bottom w:val="single" w:color="auto" w:sz="8" w:space="0"/>
              <w:right w:val="single" w:color="auto" w:sz="8" w:space="0"/>
            </w:tcBorders>
            <w:shd w:val="clear" w:color="auto" w:fill="auto"/>
            <w:vAlign w:val="center"/>
          </w:tcPr>
          <w:p w14:paraId="7C12B6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申请人情况</w:t>
            </w:r>
          </w:p>
        </w:tc>
      </w:tr>
      <w:tr w14:paraId="2FBBA5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78F6B534">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3596" w:type="dxa"/>
            <w:gridSpan w:val="6"/>
            <w:tcBorders>
              <w:top w:val="nil"/>
              <w:left w:val="nil"/>
              <w:bottom w:val="single" w:color="auto" w:sz="8" w:space="0"/>
              <w:right w:val="single" w:color="auto" w:sz="8" w:space="0"/>
            </w:tcBorders>
            <w:shd w:val="clear" w:color="auto" w:fill="auto"/>
            <w:vAlign w:val="center"/>
          </w:tcPr>
          <w:p w14:paraId="39D6F6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法人或其他组织</w:t>
            </w:r>
          </w:p>
        </w:tc>
        <w:tc>
          <w:tcPr>
            <w:tcW w:w="575" w:type="dxa"/>
            <w:vMerge w:val="restart"/>
            <w:tcBorders>
              <w:top w:val="single" w:color="auto" w:sz="8" w:space="0"/>
              <w:left w:val="nil"/>
              <w:bottom w:val="outset" w:color="auto" w:sz="6" w:space="0"/>
              <w:right w:val="single" w:color="auto" w:sz="8" w:space="0"/>
            </w:tcBorders>
            <w:shd w:val="clear" w:color="auto" w:fill="auto"/>
            <w:vAlign w:val="center"/>
          </w:tcPr>
          <w:p w14:paraId="37BBEB3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总计</w:t>
            </w:r>
          </w:p>
        </w:tc>
      </w:tr>
      <w:tr w14:paraId="2EEC18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615F376">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685" w:type="dxa"/>
            <w:tcBorders>
              <w:top w:val="nil"/>
              <w:left w:val="nil"/>
              <w:bottom w:val="single" w:color="auto" w:sz="8" w:space="0"/>
              <w:right w:val="single" w:color="auto" w:sz="8" w:space="0"/>
            </w:tcBorders>
            <w:shd w:val="clear" w:color="auto" w:fill="auto"/>
            <w:vAlign w:val="center"/>
          </w:tcPr>
          <w:p w14:paraId="2B76BE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自然人</w:t>
            </w:r>
          </w:p>
        </w:tc>
        <w:tc>
          <w:tcPr>
            <w:tcW w:w="574" w:type="dxa"/>
            <w:tcBorders>
              <w:top w:val="nil"/>
              <w:left w:val="nil"/>
              <w:bottom w:val="single" w:color="auto" w:sz="8" w:space="0"/>
              <w:right w:val="single" w:color="auto" w:sz="8" w:space="0"/>
            </w:tcBorders>
            <w:shd w:val="clear" w:color="auto" w:fill="auto"/>
            <w:vAlign w:val="center"/>
          </w:tcPr>
          <w:p w14:paraId="091B15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商业企业</w:t>
            </w:r>
          </w:p>
        </w:tc>
        <w:tc>
          <w:tcPr>
            <w:tcW w:w="614" w:type="dxa"/>
            <w:tcBorders>
              <w:top w:val="nil"/>
              <w:left w:val="nil"/>
              <w:bottom w:val="single" w:color="auto" w:sz="8" w:space="0"/>
              <w:right w:val="single" w:color="auto" w:sz="8" w:space="0"/>
            </w:tcBorders>
            <w:shd w:val="clear" w:color="auto" w:fill="auto"/>
            <w:vAlign w:val="center"/>
          </w:tcPr>
          <w:p w14:paraId="03995E1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科研机构</w:t>
            </w:r>
          </w:p>
        </w:tc>
        <w:tc>
          <w:tcPr>
            <w:tcW w:w="574" w:type="dxa"/>
            <w:tcBorders>
              <w:top w:val="single" w:color="auto" w:sz="8" w:space="0"/>
              <w:left w:val="nil"/>
              <w:bottom w:val="single" w:color="auto" w:sz="8" w:space="0"/>
              <w:right w:val="single" w:color="auto" w:sz="8" w:space="0"/>
            </w:tcBorders>
            <w:shd w:val="clear" w:color="auto" w:fill="auto"/>
            <w:vAlign w:val="center"/>
          </w:tcPr>
          <w:p w14:paraId="35599A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社会公益组织</w:t>
            </w:r>
          </w:p>
        </w:tc>
        <w:tc>
          <w:tcPr>
            <w:tcW w:w="574" w:type="dxa"/>
            <w:tcBorders>
              <w:top w:val="single" w:color="auto" w:sz="8" w:space="0"/>
              <w:left w:val="nil"/>
              <w:bottom w:val="single" w:color="auto" w:sz="8" w:space="0"/>
              <w:right w:val="single" w:color="auto" w:sz="8" w:space="0"/>
            </w:tcBorders>
            <w:shd w:val="clear" w:color="auto" w:fill="auto"/>
            <w:vAlign w:val="center"/>
          </w:tcPr>
          <w:p w14:paraId="0F85E4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法律服务机构</w:t>
            </w:r>
          </w:p>
        </w:tc>
        <w:tc>
          <w:tcPr>
            <w:tcW w:w="575" w:type="dxa"/>
            <w:tcBorders>
              <w:top w:val="single" w:color="auto" w:sz="8" w:space="0"/>
              <w:left w:val="nil"/>
              <w:bottom w:val="single" w:color="auto" w:sz="8" w:space="0"/>
              <w:right w:val="single" w:color="auto" w:sz="8" w:space="0"/>
            </w:tcBorders>
            <w:shd w:val="clear" w:color="auto" w:fill="auto"/>
            <w:vAlign w:val="center"/>
          </w:tcPr>
          <w:p w14:paraId="7C5606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其他</w:t>
            </w:r>
          </w:p>
        </w:tc>
        <w:tc>
          <w:tcPr>
            <w:tcW w:w="575" w:type="dxa"/>
            <w:vMerge w:val="continue"/>
            <w:tcBorders>
              <w:top w:val="single" w:color="auto" w:sz="8" w:space="0"/>
              <w:left w:val="nil"/>
              <w:bottom w:val="outset" w:color="auto" w:sz="6" w:space="0"/>
              <w:right w:val="single" w:color="auto" w:sz="8" w:space="0"/>
            </w:tcBorders>
            <w:shd w:val="clear" w:color="auto" w:fill="auto"/>
            <w:vAlign w:val="center"/>
          </w:tcPr>
          <w:p w14:paraId="1363B46D">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r>
      <w:tr w14:paraId="50A4F5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14:paraId="36E5379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一、本年新收政府信息公开申请数量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2E10D8A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1</w:t>
            </w:r>
          </w:p>
        </w:tc>
        <w:tc>
          <w:tcPr>
            <w:tcW w:w="574" w:type="dxa"/>
            <w:tcBorders>
              <w:top w:val="nil"/>
              <w:left w:val="nil"/>
              <w:bottom w:val="single" w:color="auto" w:sz="8" w:space="0"/>
              <w:right w:val="single" w:color="auto" w:sz="8" w:space="0"/>
            </w:tcBorders>
            <w:shd w:val="clear" w:color="auto" w:fill="auto"/>
            <w:vAlign w:val="center"/>
          </w:tcPr>
          <w:p w14:paraId="747C3D4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69B2F8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FE8B2A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D62831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3B237F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69D52DF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1</w:t>
            </w:r>
          </w:p>
        </w:tc>
      </w:tr>
      <w:tr w14:paraId="4BFCFA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14:paraId="1A0CAD7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二、上年结转政府信息公开申请数量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3AC82AE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A62851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0C9A43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5D7D463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A29C41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0ACB4D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15FCE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0344CE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restart"/>
            <w:tcBorders>
              <w:top w:val="nil"/>
              <w:left w:val="single" w:color="auto" w:sz="8" w:space="0"/>
              <w:bottom w:val="outset" w:color="auto" w:sz="6" w:space="0"/>
              <w:right w:val="single" w:color="auto" w:sz="8" w:space="0"/>
            </w:tcBorders>
            <w:shd w:val="clear" w:color="auto" w:fill="auto"/>
            <w:vAlign w:val="center"/>
          </w:tcPr>
          <w:p w14:paraId="580DAA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三、本年度办理结果</w:t>
            </w:r>
          </w:p>
        </w:tc>
        <w:tc>
          <w:tcPr>
            <w:tcW w:w="2920" w:type="dxa"/>
            <w:gridSpan w:val="2"/>
            <w:tcBorders>
              <w:top w:val="nil"/>
              <w:left w:val="nil"/>
              <w:bottom w:val="single" w:color="auto" w:sz="8" w:space="0"/>
              <w:right w:val="single" w:color="auto" w:sz="8" w:space="0"/>
            </w:tcBorders>
            <w:shd w:val="clear" w:color="auto" w:fill="auto"/>
            <w:vAlign w:val="center"/>
          </w:tcPr>
          <w:p w14:paraId="4565D2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（一）予以公开</w:t>
            </w:r>
          </w:p>
        </w:tc>
        <w:tc>
          <w:tcPr>
            <w:tcW w:w="685" w:type="dxa"/>
            <w:tcBorders>
              <w:top w:val="nil"/>
              <w:left w:val="nil"/>
              <w:bottom w:val="single" w:color="auto" w:sz="8" w:space="0"/>
              <w:right w:val="single" w:color="auto" w:sz="8" w:space="0"/>
            </w:tcBorders>
            <w:shd w:val="clear" w:color="auto" w:fill="auto"/>
            <w:vAlign w:val="center"/>
          </w:tcPr>
          <w:p w14:paraId="713419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1</w:t>
            </w:r>
          </w:p>
        </w:tc>
        <w:tc>
          <w:tcPr>
            <w:tcW w:w="574" w:type="dxa"/>
            <w:tcBorders>
              <w:top w:val="nil"/>
              <w:left w:val="nil"/>
              <w:bottom w:val="single" w:color="auto" w:sz="8" w:space="0"/>
              <w:right w:val="single" w:color="auto" w:sz="8" w:space="0"/>
            </w:tcBorders>
            <w:shd w:val="clear" w:color="auto" w:fill="auto"/>
            <w:vAlign w:val="center"/>
          </w:tcPr>
          <w:p w14:paraId="419D3D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2803B7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C27D8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31636D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32561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2CC411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424717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17DFE1DB">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2920" w:type="dxa"/>
            <w:gridSpan w:val="2"/>
            <w:tcBorders>
              <w:top w:val="nil"/>
              <w:left w:val="nil"/>
              <w:bottom w:val="single" w:color="auto" w:sz="8" w:space="0"/>
              <w:right w:val="single" w:color="auto" w:sz="8" w:space="0"/>
            </w:tcBorders>
            <w:shd w:val="clear" w:color="auto" w:fill="auto"/>
            <w:vAlign w:val="center"/>
          </w:tcPr>
          <w:p w14:paraId="79ACD6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（二）部分公开（区分处理的，只计这一情形，不计其他情形）</w:t>
            </w:r>
          </w:p>
        </w:tc>
        <w:tc>
          <w:tcPr>
            <w:tcW w:w="685" w:type="dxa"/>
            <w:tcBorders>
              <w:top w:val="nil"/>
              <w:left w:val="nil"/>
              <w:bottom w:val="single" w:color="auto" w:sz="8" w:space="0"/>
              <w:right w:val="single" w:color="auto" w:sz="8" w:space="0"/>
            </w:tcBorders>
            <w:shd w:val="clear" w:color="auto" w:fill="auto"/>
            <w:vAlign w:val="center"/>
          </w:tcPr>
          <w:p w14:paraId="1529C0F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9AA920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311252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BC84AC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4BEEB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B2CF07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6C81A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2EECC0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4D94A2FE">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restart"/>
            <w:tcBorders>
              <w:top w:val="nil"/>
              <w:left w:val="nil"/>
              <w:bottom w:val="outset" w:color="auto" w:sz="6" w:space="0"/>
              <w:right w:val="single" w:color="auto" w:sz="8" w:space="0"/>
            </w:tcBorders>
            <w:shd w:val="clear" w:color="auto" w:fill="auto"/>
            <w:vAlign w:val="center"/>
          </w:tcPr>
          <w:p w14:paraId="6B2EBC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（三）不予公开</w:t>
            </w:r>
          </w:p>
        </w:tc>
        <w:tc>
          <w:tcPr>
            <w:tcW w:w="1552" w:type="dxa"/>
            <w:tcBorders>
              <w:top w:val="nil"/>
              <w:left w:val="nil"/>
              <w:bottom w:val="single" w:color="auto" w:sz="8" w:space="0"/>
              <w:right w:val="single" w:color="auto" w:sz="8" w:space="0"/>
            </w:tcBorders>
            <w:shd w:val="clear" w:color="auto" w:fill="auto"/>
          </w:tcPr>
          <w:p w14:paraId="71B6D61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1.属于国家秘密</w:t>
            </w:r>
          </w:p>
        </w:tc>
        <w:tc>
          <w:tcPr>
            <w:tcW w:w="685" w:type="dxa"/>
            <w:tcBorders>
              <w:top w:val="nil"/>
              <w:left w:val="nil"/>
              <w:bottom w:val="single" w:color="auto" w:sz="8" w:space="0"/>
              <w:right w:val="single" w:color="auto" w:sz="8" w:space="0"/>
            </w:tcBorders>
            <w:shd w:val="clear" w:color="auto" w:fill="auto"/>
            <w:vAlign w:val="center"/>
          </w:tcPr>
          <w:p w14:paraId="281DD01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DAEF32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2B9A89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BE485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879038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40513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274461E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57A94F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5C7B0529">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3B3A8032">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55D269E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2.其他法律行政法规禁止公开</w:t>
            </w:r>
          </w:p>
        </w:tc>
        <w:tc>
          <w:tcPr>
            <w:tcW w:w="685" w:type="dxa"/>
            <w:tcBorders>
              <w:top w:val="nil"/>
              <w:left w:val="nil"/>
              <w:bottom w:val="single" w:color="auto" w:sz="8" w:space="0"/>
              <w:right w:val="single" w:color="auto" w:sz="8" w:space="0"/>
            </w:tcBorders>
            <w:shd w:val="clear" w:color="auto" w:fill="auto"/>
            <w:vAlign w:val="center"/>
          </w:tcPr>
          <w:p w14:paraId="05FD7BF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F9850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4EDA5FF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05D2DC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C1BF0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6B704E3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557BBD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2501C6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3107617A">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04F5A5CB">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4DF757C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3.危及“三安全一稳定”</w:t>
            </w:r>
          </w:p>
        </w:tc>
        <w:tc>
          <w:tcPr>
            <w:tcW w:w="685" w:type="dxa"/>
            <w:tcBorders>
              <w:top w:val="nil"/>
              <w:left w:val="nil"/>
              <w:bottom w:val="single" w:color="auto" w:sz="8" w:space="0"/>
              <w:right w:val="single" w:color="auto" w:sz="8" w:space="0"/>
            </w:tcBorders>
            <w:shd w:val="clear" w:color="auto" w:fill="auto"/>
            <w:vAlign w:val="center"/>
          </w:tcPr>
          <w:p w14:paraId="7159A9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026B1D0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66C27CA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819F1E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94798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2DC489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F5AECA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48FA59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60677141">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65723007">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5D957D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4.保护第三方合法权益</w:t>
            </w:r>
          </w:p>
        </w:tc>
        <w:tc>
          <w:tcPr>
            <w:tcW w:w="685" w:type="dxa"/>
            <w:tcBorders>
              <w:top w:val="nil"/>
              <w:left w:val="nil"/>
              <w:bottom w:val="single" w:color="auto" w:sz="8" w:space="0"/>
              <w:right w:val="single" w:color="auto" w:sz="8" w:space="0"/>
            </w:tcBorders>
            <w:shd w:val="clear" w:color="auto" w:fill="auto"/>
            <w:vAlign w:val="center"/>
          </w:tcPr>
          <w:p w14:paraId="7F3E80A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62AECD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2321820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2F9E2C6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56C66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24EDE2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29AEA58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5F26ED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3C446171">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1E26F84C">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6DB173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5.属于三类内部事务信息</w:t>
            </w:r>
          </w:p>
        </w:tc>
        <w:tc>
          <w:tcPr>
            <w:tcW w:w="685" w:type="dxa"/>
            <w:tcBorders>
              <w:top w:val="nil"/>
              <w:left w:val="nil"/>
              <w:bottom w:val="single" w:color="auto" w:sz="8" w:space="0"/>
              <w:right w:val="single" w:color="auto" w:sz="8" w:space="0"/>
            </w:tcBorders>
            <w:shd w:val="clear" w:color="auto" w:fill="auto"/>
            <w:vAlign w:val="center"/>
          </w:tcPr>
          <w:p w14:paraId="1CFD3F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00B27D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0C8A1B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BAD912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22356E1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5A1243E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875AE5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14DD40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163050DB">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4A946502">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1294A20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6.属于四类过程性信息</w:t>
            </w:r>
          </w:p>
        </w:tc>
        <w:tc>
          <w:tcPr>
            <w:tcW w:w="685" w:type="dxa"/>
            <w:tcBorders>
              <w:top w:val="nil"/>
              <w:left w:val="nil"/>
              <w:bottom w:val="single" w:color="auto" w:sz="8" w:space="0"/>
              <w:right w:val="single" w:color="auto" w:sz="8" w:space="0"/>
            </w:tcBorders>
            <w:shd w:val="clear" w:color="auto" w:fill="auto"/>
            <w:vAlign w:val="center"/>
          </w:tcPr>
          <w:p w14:paraId="002243A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2E786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13D6D9A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F86CF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A73310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4D49D4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CC9D7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6D0A38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2673EA1C">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022EFD7E">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7C2554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7.属于行政执法案卷</w:t>
            </w:r>
          </w:p>
        </w:tc>
        <w:tc>
          <w:tcPr>
            <w:tcW w:w="685" w:type="dxa"/>
            <w:tcBorders>
              <w:top w:val="nil"/>
              <w:left w:val="nil"/>
              <w:bottom w:val="single" w:color="auto" w:sz="8" w:space="0"/>
              <w:right w:val="single" w:color="auto" w:sz="8" w:space="0"/>
            </w:tcBorders>
            <w:shd w:val="clear" w:color="auto" w:fill="auto"/>
            <w:vAlign w:val="center"/>
          </w:tcPr>
          <w:p w14:paraId="75E9F6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E1225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7C9F1C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5EAB82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0C9E5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B7F24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293445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6839B0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6103455C">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1E5720AF">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79C0CE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8.属于行政查询事项</w:t>
            </w:r>
          </w:p>
        </w:tc>
        <w:tc>
          <w:tcPr>
            <w:tcW w:w="685" w:type="dxa"/>
            <w:tcBorders>
              <w:top w:val="nil"/>
              <w:left w:val="nil"/>
              <w:bottom w:val="single" w:color="auto" w:sz="8" w:space="0"/>
              <w:right w:val="single" w:color="auto" w:sz="8" w:space="0"/>
            </w:tcBorders>
            <w:shd w:val="clear" w:color="auto" w:fill="auto"/>
            <w:vAlign w:val="center"/>
          </w:tcPr>
          <w:p w14:paraId="422FA5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8CEAA6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5D3C6D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B4EA6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59BABC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51E8F6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16D8E8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472A57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370E9297">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restart"/>
            <w:tcBorders>
              <w:top w:val="nil"/>
              <w:left w:val="nil"/>
              <w:bottom w:val="outset" w:color="auto" w:sz="6" w:space="0"/>
              <w:right w:val="single" w:color="auto" w:sz="8" w:space="0"/>
            </w:tcBorders>
            <w:shd w:val="clear" w:color="auto" w:fill="auto"/>
            <w:vAlign w:val="center"/>
          </w:tcPr>
          <w:p w14:paraId="7CE99E3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（四）无法提供</w:t>
            </w:r>
          </w:p>
        </w:tc>
        <w:tc>
          <w:tcPr>
            <w:tcW w:w="1552" w:type="dxa"/>
            <w:tcBorders>
              <w:top w:val="nil"/>
              <w:left w:val="nil"/>
              <w:bottom w:val="single" w:color="auto" w:sz="8" w:space="0"/>
              <w:right w:val="single" w:color="auto" w:sz="8" w:space="0"/>
            </w:tcBorders>
            <w:shd w:val="clear" w:color="auto" w:fill="auto"/>
          </w:tcPr>
          <w:p w14:paraId="09070BA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1.本机关不掌握相关政府信息</w:t>
            </w:r>
          </w:p>
        </w:tc>
        <w:tc>
          <w:tcPr>
            <w:tcW w:w="685" w:type="dxa"/>
            <w:tcBorders>
              <w:top w:val="nil"/>
              <w:left w:val="nil"/>
              <w:bottom w:val="single" w:color="auto" w:sz="8" w:space="0"/>
              <w:right w:val="single" w:color="auto" w:sz="8" w:space="0"/>
            </w:tcBorders>
            <w:shd w:val="clear" w:color="auto" w:fill="auto"/>
            <w:vAlign w:val="center"/>
          </w:tcPr>
          <w:p w14:paraId="7CCC004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654625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28662B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43CDD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BCEFA1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1519FC3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1F8DE06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22EC25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0BF5E837">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72F53E48">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00E37A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2.没有现成信息需要另行制作</w:t>
            </w:r>
          </w:p>
        </w:tc>
        <w:tc>
          <w:tcPr>
            <w:tcW w:w="685" w:type="dxa"/>
            <w:tcBorders>
              <w:top w:val="nil"/>
              <w:left w:val="nil"/>
              <w:bottom w:val="single" w:color="auto" w:sz="8" w:space="0"/>
              <w:right w:val="single" w:color="auto" w:sz="8" w:space="0"/>
            </w:tcBorders>
            <w:shd w:val="clear" w:color="auto" w:fill="auto"/>
            <w:vAlign w:val="center"/>
          </w:tcPr>
          <w:p w14:paraId="4D0357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EB3470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77B471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B5354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C71E1F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02690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BE2FD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3988E2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02CE6803">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1471F500">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tcPr>
          <w:p w14:paraId="5A8EC0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3.补正后申请内容仍不明确</w:t>
            </w:r>
          </w:p>
        </w:tc>
        <w:tc>
          <w:tcPr>
            <w:tcW w:w="685" w:type="dxa"/>
            <w:tcBorders>
              <w:top w:val="nil"/>
              <w:left w:val="nil"/>
              <w:bottom w:val="single" w:color="auto" w:sz="8" w:space="0"/>
              <w:right w:val="single" w:color="auto" w:sz="8" w:space="0"/>
            </w:tcBorders>
            <w:shd w:val="clear" w:color="auto" w:fill="auto"/>
            <w:vAlign w:val="center"/>
          </w:tcPr>
          <w:p w14:paraId="62890C6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0A33EE2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771640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5081C8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865E51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F96D19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21EF92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26D1F0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4004D351">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restart"/>
            <w:tcBorders>
              <w:top w:val="nil"/>
              <w:left w:val="nil"/>
              <w:bottom w:val="outset" w:color="auto" w:sz="6" w:space="0"/>
              <w:right w:val="single" w:color="auto" w:sz="8" w:space="0"/>
            </w:tcBorders>
            <w:shd w:val="clear" w:color="auto" w:fill="auto"/>
            <w:vAlign w:val="center"/>
          </w:tcPr>
          <w:p w14:paraId="23BB12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（五）不予处理</w:t>
            </w:r>
          </w:p>
        </w:tc>
        <w:tc>
          <w:tcPr>
            <w:tcW w:w="1552" w:type="dxa"/>
            <w:tcBorders>
              <w:top w:val="nil"/>
              <w:left w:val="nil"/>
              <w:bottom w:val="single" w:color="auto" w:sz="8" w:space="0"/>
              <w:right w:val="single" w:color="auto" w:sz="8" w:space="0"/>
            </w:tcBorders>
            <w:shd w:val="clear" w:color="auto" w:fill="auto"/>
            <w:vAlign w:val="center"/>
          </w:tcPr>
          <w:p w14:paraId="1580A86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1.信访举报投诉类申请</w:t>
            </w:r>
          </w:p>
        </w:tc>
        <w:tc>
          <w:tcPr>
            <w:tcW w:w="685" w:type="dxa"/>
            <w:tcBorders>
              <w:top w:val="nil"/>
              <w:left w:val="nil"/>
              <w:bottom w:val="single" w:color="auto" w:sz="8" w:space="0"/>
              <w:right w:val="single" w:color="auto" w:sz="8" w:space="0"/>
            </w:tcBorders>
            <w:shd w:val="clear" w:color="auto" w:fill="auto"/>
            <w:vAlign w:val="center"/>
          </w:tcPr>
          <w:p w14:paraId="4D57583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5FA5F42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7DC3D28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13F210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4B8446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053A703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28FCBAD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691BDD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6C4236E4">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01C8DDD7">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single" w:color="auto" w:sz="8" w:space="0"/>
              <w:left w:val="nil"/>
              <w:bottom w:val="single" w:color="auto" w:sz="8" w:space="0"/>
              <w:right w:val="single" w:color="auto" w:sz="8" w:space="0"/>
            </w:tcBorders>
            <w:shd w:val="clear" w:color="auto" w:fill="auto"/>
            <w:vAlign w:val="center"/>
          </w:tcPr>
          <w:p w14:paraId="492860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2.重复申请</w:t>
            </w:r>
          </w:p>
        </w:tc>
        <w:tc>
          <w:tcPr>
            <w:tcW w:w="685" w:type="dxa"/>
            <w:tcBorders>
              <w:top w:val="single" w:color="auto" w:sz="8" w:space="0"/>
              <w:left w:val="nil"/>
              <w:bottom w:val="single" w:color="auto" w:sz="8" w:space="0"/>
              <w:right w:val="single" w:color="auto" w:sz="8" w:space="0"/>
            </w:tcBorders>
            <w:shd w:val="clear" w:color="auto" w:fill="auto"/>
            <w:vAlign w:val="center"/>
          </w:tcPr>
          <w:p w14:paraId="1BFC9B9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5F9F64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single" w:color="auto" w:sz="8" w:space="0"/>
              <w:left w:val="nil"/>
              <w:bottom w:val="single" w:color="auto" w:sz="8" w:space="0"/>
              <w:right w:val="single" w:color="auto" w:sz="8" w:space="0"/>
            </w:tcBorders>
            <w:shd w:val="clear" w:color="auto" w:fill="auto"/>
            <w:vAlign w:val="center"/>
          </w:tcPr>
          <w:p w14:paraId="3FFA7E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496EF9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578893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1C2D4D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59FF330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0ED1A1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1F69EFFF">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45BD344E">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single" w:color="auto" w:sz="8" w:space="0"/>
              <w:left w:val="nil"/>
              <w:bottom w:val="single" w:color="auto" w:sz="8" w:space="0"/>
              <w:right w:val="single" w:color="auto" w:sz="8" w:space="0"/>
            </w:tcBorders>
            <w:shd w:val="clear" w:color="auto" w:fill="auto"/>
            <w:vAlign w:val="center"/>
          </w:tcPr>
          <w:p w14:paraId="28112D0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3.要求提供公开出版物</w:t>
            </w:r>
          </w:p>
        </w:tc>
        <w:tc>
          <w:tcPr>
            <w:tcW w:w="685" w:type="dxa"/>
            <w:tcBorders>
              <w:top w:val="single" w:color="auto" w:sz="8" w:space="0"/>
              <w:left w:val="nil"/>
              <w:bottom w:val="single" w:color="auto" w:sz="8" w:space="0"/>
              <w:right w:val="single" w:color="auto" w:sz="8" w:space="0"/>
            </w:tcBorders>
            <w:shd w:val="clear" w:color="auto" w:fill="auto"/>
            <w:vAlign w:val="center"/>
          </w:tcPr>
          <w:p w14:paraId="26B219F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2B304D0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single" w:color="auto" w:sz="8" w:space="0"/>
              <w:left w:val="nil"/>
              <w:bottom w:val="single" w:color="auto" w:sz="8" w:space="0"/>
              <w:right w:val="single" w:color="auto" w:sz="8" w:space="0"/>
            </w:tcBorders>
            <w:shd w:val="clear" w:color="auto" w:fill="auto"/>
            <w:vAlign w:val="center"/>
          </w:tcPr>
          <w:p w14:paraId="4D1D35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7E4D8E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4E97F85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1B0E5A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28908F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2139C0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239255D7">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6C87DDA0">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single" w:color="auto" w:sz="8" w:space="0"/>
              <w:left w:val="nil"/>
              <w:bottom w:val="single" w:color="auto" w:sz="8" w:space="0"/>
              <w:right w:val="single" w:color="auto" w:sz="8" w:space="0"/>
            </w:tcBorders>
            <w:shd w:val="clear" w:color="auto" w:fill="auto"/>
          </w:tcPr>
          <w:p w14:paraId="542723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top"/>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4.无正当理由大量反复申请</w:t>
            </w:r>
          </w:p>
        </w:tc>
        <w:tc>
          <w:tcPr>
            <w:tcW w:w="685" w:type="dxa"/>
            <w:tcBorders>
              <w:top w:val="single" w:color="auto" w:sz="8" w:space="0"/>
              <w:left w:val="nil"/>
              <w:bottom w:val="single" w:color="auto" w:sz="8" w:space="0"/>
              <w:right w:val="single" w:color="auto" w:sz="8" w:space="0"/>
            </w:tcBorders>
            <w:shd w:val="clear" w:color="auto" w:fill="auto"/>
            <w:vAlign w:val="center"/>
          </w:tcPr>
          <w:p w14:paraId="464D8F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7861FBA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single" w:color="auto" w:sz="8" w:space="0"/>
              <w:left w:val="nil"/>
              <w:bottom w:val="single" w:color="auto" w:sz="8" w:space="0"/>
              <w:right w:val="single" w:color="auto" w:sz="8" w:space="0"/>
            </w:tcBorders>
            <w:shd w:val="clear" w:color="auto" w:fill="auto"/>
            <w:vAlign w:val="center"/>
          </w:tcPr>
          <w:p w14:paraId="0CF7BF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0F1DF4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single" w:color="auto" w:sz="8" w:space="0"/>
              <w:left w:val="nil"/>
              <w:bottom w:val="single" w:color="auto" w:sz="8" w:space="0"/>
              <w:right w:val="single" w:color="auto" w:sz="8" w:space="0"/>
            </w:tcBorders>
            <w:shd w:val="clear" w:color="auto" w:fill="auto"/>
            <w:vAlign w:val="center"/>
          </w:tcPr>
          <w:p w14:paraId="773ED9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569E4B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single" w:color="auto" w:sz="8" w:space="0"/>
              <w:left w:val="nil"/>
              <w:bottom w:val="single" w:color="auto" w:sz="8" w:space="0"/>
              <w:right w:val="single" w:color="auto" w:sz="8" w:space="0"/>
            </w:tcBorders>
            <w:shd w:val="clear" w:color="auto" w:fill="auto"/>
            <w:vAlign w:val="center"/>
          </w:tcPr>
          <w:p w14:paraId="32DAA1D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471E10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3FC3D7ED">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nil"/>
              <w:left w:val="nil"/>
              <w:bottom w:val="outset" w:color="auto" w:sz="6" w:space="0"/>
              <w:right w:val="single" w:color="auto" w:sz="8" w:space="0"/>
            </w:tcBorders>
            <w:shd w:val="clear" w:color="auto" w:fill="auto"/>
            <w:vAlign w:val="center"/>
          </w:tcPr>
          <w:p w14:paraId="4DA6FC60">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outset" w:color="auto" w:sz="6" w:space="0"/>
              <w:right w:val="single" w:color="auto" w:sz="8" w:space="0"/>
            </w:tcBorders>
            <w:shd w:val="clear" w:color="auto" w:fill="auto"/>
            <w:vAlign w:val="center"/>
          </w:tcPr>
          <w:p w14:paraId="63192ED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5.要求行政机关确认或重新出具已获取信息</w:t>
            </w:r>
          </w:p>
        </w:tc>
        <w:tc>
          <w:tcPr>
            <w:tcW w:w="685" w:type="dxa"/>
            <w:tcBorders>
              <w:top w:val="nil"/>
              <w:left w:val="nil"/>
              <w:bottom w:val="outset" w:color="auto" w:sz="6" w:space="0"/>
              <w:right w:val="single" w:color="auto" w:sz="8" w:space="0"/>
            </w:tcBorders>
            <w:shd w:val="clear" w:color="auto" w:fill="auto"/>
            <w:vAlign w:val="center"/>
          </w:tcPr>
          <w:p w14:paraId="7466F5E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outset" w:color="auto" w:sz="6" w:space="0"/>
              <w:right w:val="single" w:color="auto" w:sz="8" w:space="0"/>
            </w:tcBorders>
            <w:shd w:val="clear" w:color="auto" w:fill="auto"/>
            <w:vAlign w:val="center"/>
          </w:tcPr>
          <w:p w14:paraId="3E89B5A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outset" w:color="auto" w:sz="6" w:space="0"/>
              <w:right w:val="single" w:color="auto" w:sz="8" w:space="0"/>
            </w:tcBorders>
            <w:shd w:val="clear" w:color="auto" w:fill="auto"/>
            <w:vAlign w:val="center"/>
          </w:tcPr>
          <w:p w14:paraId="6B63D6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outset" w:color="auto" w:sz="6" w:space="0"/>
              <w:right w:val="single" w:color="auto" w:sz="8" w:space="0"/>
            </w:tcBorders>
            <w:shd w:val="clear" w:color="auto" w:fill="auto"/>
            <w:vAlign w:val="center"/>
          </w:tcPr>
          <w:p w14:paraId="1A37FB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outset" w:color="auto" w:sz="6" w:space="0"/>
              <w:right w:val="single" w:color="auto" w:sz="8" w:space="0"/>
            </w:tcBorders>
            <w:shd w:val="clear" w:color="auto" w:fill="auto"/>
            <w:vAlign w:val="center"/>
          </w:tcPr>
          <w:p w14:paraId="5B661A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outset" w:color="auto" w:sz="6" w:space="0"/>
              <w:right w:val="single" w:color="auto" w:sz="8" w:space="0"/>
            </w:tcBorders>
            <w:shd w:val="clear" w:color="auto" w:fill="auto"/>
            <w:vAlign w:val="center"/>
          </w:tcPr>
          <w:p w14:paraId="76FD5D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outset" w:color="auto" w:sz="6" w:space="0"/>
              <w:right w:val="single" w:color="auto" w:sz="8" w:space="0"/>
            </w:tcBorders>
            <w:shd w:val="clear" w:color="auto" w:fill="auto"/>
            <w:vAlign w:val="center"/>
          </w:tcPr>
          <w:p w14:paraId="580757B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529336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2C925845">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restart"/>
            <w:tcBorders>
              <w:top w:val="outset" w:color="auto" w:sz="6" w:space="0"/>
              <w:left w:val="nil"/>
              <w:bottom w:val="outset" w:color="auto" w:sz="6" w:space="0"/>
              <w:right w:val="single" w:color="auto" w:sz="8" w:space="0"/>
            </w:tcBorders>
            <w:shd w:val="clear" w:color="auto" w:fill="auto"/>
            <w:vAlign w:val="center"/>
          </w:tcPr>
          <w:p w14:paraId="073FAD5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（六）其他处理</w:t>
            </w:r>
          </w:p>
        </w:tc>
        <w:tc>
          <w:tcPr>
            <w:tcW w:w="1552" w:type="dxa"/>
            <w:tcBorders>
              <w:top w:val="nil"/>
              <w:left w:val="nil"/>
              <w:bottom w:val="single" w:color="auto" w:sz="8" w:space="0"/>
              <w:right w:val="single" w:color="auto" w:sz="8" w:space="0"/>
            </w:tcBorders>
            <w:shd w:val="clear" w:color="auto" w:fill="auto"/>
            <w:vAlign w:val="center"/>
          </w:tcPr>
          <w:p w14:paraId="1B58AF8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631A47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230CE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40280F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1500D4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2EECF9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45929A1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3C7D2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7DB342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799B3760">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outset" w:color="auto" w:sz="6" w:space="0"/>
              <w:left w:val="nil"/>
              <w:bottom w:val="outset" w:color="auto" w:sz="6" w:space="0"/>
              <w:right w:val="single" w:color="auto" w:sz="8" w:space="0"/>
            </w:tcBorders>
            <w:shd w:val="clear" w:color="auto" w:fill="auto"/>
            <w:vAlign w:val="center"/>
          </w:tcPr>
          <w:p w14:paraId="5BC2BB1B">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vAlign w:val="center"/>
          </w:tcPr>
          <w:p w14:paraId="0F15874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2B2683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27175F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44253AB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0D4C11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08277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7DA992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5B8C403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09FEB5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212AD7DB">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368" w:type="dxa"/>
            <w:vMerge w:val="continue"/>
            <w:tcBorders>
              <w:top w:val="outset" w:color="auto" w:sz="6" w:space="0"/>
              <w:left w:val="nil"/>
              <w:bottom w:val="outset" w:color="auto" w:sz="6" w:space="0"/>
              <w:right w:val="single" w:color="auto" w:sz="8" w:space="0"/>
            </w:tcBorders>
            <w:shd w:val="clear" w:color="auto" w:fill="auto"/>
            <w:vAlign w:val="center"/>
          </w:tcPr>
          <w:p w14:paraId="6CF01FCE">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1552" w:type="dxa"/>
            <w:tcBorders>
              <w:top w:val="nil"/>
              <w:left w:val="nil"/>
              <w:bottom w:val="single" w:color="auto" w:sz="8" w:space="0"/>
              <w:right w:val="single" w:color="auto" w:sz="8" w:space="0"/>
            </w:tcBorders>
            <w:shd w:val="clear" w:color="auto" w:fill="auto"/>
            <w:vAlign w:val="center"/>
          </w:tcPr>
          <w:p w14:paraId="511F6B3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3.其他</w:t>
            </w:r>
          </w:p>
        </w:tc>
        <w:tc>
          <w:tcPr>
            <w:tcW w:w="685" w:type="dxa"/>
            <w:tcBorders>
              <w:top w:val="nil"/>
              <w:left w:val="nil"/>
              <w:bottom w:val="single" w:color="auto" w:sz="8" w:space="0"/>
              <w:right w:val="single" w:color="auto" w:sz="8" w:space="0"/>
            </w:tcBorders>
            <w:shd w:val="clear" w:color="auto" w:fill="auto"/>
            <w:vAlign w:val="center"/>
          </w:tcPr>
          <w:p w14:paraId="0C5955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E07CA8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755DC7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0AB272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25DBB5E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5593E86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2E5F026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r w14:paraId="5BA8B4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1378" w:type="dxa"/>
            <w:vMerge w:val="continue"/>
            <w:tcBorders>
              <w:top w:val="nil"/>
              <w:left w:val="single" w:color="auto" w:sz="8" w:space="0"/>
              <w:bottom w:val="outset" w:color="auto" w:sz="6" w:space="0"/>
              <w:right w:val="single" w:color="auto" w:sz="8" w:space="0"/>
            </w:tcBorders>
            <w:shd w:val="clear" w:color="auto" w:fill="auto"/>
            <w:vAlign w:val="center"/>
          </w:tcPr>
          <w:p w14:paraId="0B395117">
            <w:pPr>
              <w:keepNext w:val="0"/>
              <w:keepLines w:val="0"/>
              <w:pageBreakBefore w:val="0"/>
              <w:kinsoku/>
              <w:wordWrap/>
              <w:overflowPunct/>
              <w:topLinePunct w:val="0"/>
              <w:autoSpaceDE/>
              <w:autoSpaceDN/>
              <w:bidi w:val="0"/>
              <w:adjustRightInd/>
              <w:snapToGrid/>
              <w:spacing w:line="320" w:lineRule="exact"/>
              <w:ind w:firstLine="0" w:firstLineChars="0"/>
              <w:rPr>
                <w:rFonts w:hint="eastAsia" w:ascii="CESI仿宋-GB2312" w:hAnsi="CESI仿宋-GB2312" w:eastAsia="CESI仿宋-GB2312" w:cs="CESI仿宋-GB2312"/>
                <w:color w:val="000000" w:themeColor="text1"/>
                <w14:textFill>
                  <w14:solidFill>
                    <w14:schemeClr w14:val="tx1"/>
                  </w14:solidFill>
                </w14:textFill>
              </w:rPr>
            </w:pPr>
          </w:p>
        </w:tc>
        <w:tc>
          <w:tcPr>
            <w:tcW w:w="2920" w:type="dxa"/>
            <w:gridSpan w:val="2"/>
            <w:tcBorders>
              <w:top w:val="nil"/>
              <w:left w:val="nil"/>
              <w:bottom w:val="single" w:color="auto" w:sz="8" w:space="0"/>
              <w:right w:val="single" w:color="auto" w:sz="8" w:space="0"/>
            </w:tcBorders>
            <w:shd w:val="clear" w:color="auto" w:fill="auto"/>
            <w:vAlign w:val="center"/>
          </w:tcPr>
          <w:p w14:paraId="6DDB0E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（七）总计</w:t>
            </w:r>
          </w:p>
        </w:tc>
        <w:tc>
          <w:tcPr>
            <w:tcW w:w="685" w:type="dxa"/>
            <w:tcBorders>
              <w:top w:val="nil"/>
              <w:left w:val="nil"/>
              <w:bottom w:val="single" w:color="auto" w:sz="8" w:space="0"/>
              <w:right w:val="single" w:color="auto" w:sz="8" w:space="0"/>
            </w:tcBorders>
            <w:shd w:val="clear" w:color="auto" w:fill="auto"/>
            <w:vAlign w:val="center"/>
          </w:tcPr>
          <w:p w14:paraId="157E3B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1</w:t>
            </w:r>
          </w:p>
        </w:tc>
        <w:tc>
          <w:tcPr>
            <w:tcW w:w="574" w:type="dxa"/>
            <w:tcBorders>
              <w:top w:val="nil"/>
              <w:left w:val="nil"/>
              <w:bottom w:val="single" w:color="auto" w:sz="8" w:space="0"/>
              <w:right w:val="single" w:color="auto" w:sz="8" w:space="0"/>
            </w:tcBorders>
            <w:shd w:val="clear" w:color="auto" w:fill="auto"/>
            <w:vAlign w:val="center"/>
          </w:tcPr>
          <w:p w14:paraId="7E9255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007B4BF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6BC267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276A7E3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10FAB9E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7B67E96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1</w:t>
            </w:r>
          </w:p>
        </w:tc>
      </w:tr>
      <w:tr w14:paraId="7AD05D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14:paraId="3E7AA42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CESI仿宋-GB2312" w:hAnsi="CESI仿宋-GB2312" w:eastAsia="CESI仿宋-GB2312" w:cs="CESI仿宋-GB2312"/>
                <w:color w:val="000000" w:themeColor="text1"/>
                <w:sz w:val="21"/>
                <w:szCs w:val="21"/>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1"/>
                <w:szCs w:val="21"/>
                <w:u w:val="none"/>
                <w:lang w:val="en-US" w:eastAsia="zh-CN"/>
                <w14:textFill>
                  <w14:solidFill>
                    <w14:schemeClr w14:val="tx1"/>
                  </w14:solidFill>
                </w14:textFill>
              </w:rPr>
              <w:t>四、结转下年度继续办理</w:t>
            </w:r>
          </w:p>
        </w:tc>
        <w:tc>
          <w:tcPr>
            <w:tcW w:w="685" w:type="dxa"/>
            <w:tcBorders>
              <w:top w:val="nil"/>
              <w:left w:val="nil"/>
              <w:bottom w:val="single" w:color="auto" w:sz="8" w:space="0"/>
              <w:right w:val="single" w:color="auto" w:sz="8" w:space="0"/>
            </w:tcBorders>
            <w:shd w:val="clear" w:color="auto" w:fill="auto"/>
            <w:vAlign w:val="center"/>
          </w:tcPr>
          <w:p w14:paraId="41AEA1B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36B959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CESI仿宋-GB2312" w:hAnsi="CESI仿宋-GB2312" w:eastAsia="CESI仿宋-GB2312" w:cs="CESI仿宋-GB2312"/>
                <w:color w:val="000000" w:themeColor="text1"/>
                <w:sz w:val="21"/>
                <w:szCs w:val="21"/>
                <w:lang w:val="en-US"/>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614" w:type="dxa"/>
            <w:tcBorders>
              <w:top w:val="nil"/>
              <w:left w:val="nil"/>
              <w:bottom w:val="single" w:color="auto" w:sz="8" w:space="0"/>
              <w:right w:val="single" w:color="auto" w:sz="8" w:space="0"/>
            </w:tcBorders>
            <w:shd w:val="clear" w:color="auto" w:fill="auto"/>
            <w:vAlign w:val="center"/>
          </w:tcPr>
          <w:p w14:paraId="51974A2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CESI仿宋-GB2312" w:hAnsi="CESI仿宋-GB2312" w:eastAsia="CESI仿宋-GB2312" w:cs="CESI仿宋-GB2312"/>
                <w:color w:val="000000" w:themeColor="text1"/>
                <w:sz w:val="21"/>
                <w:szCs w:val="21"/>
                <w:lang w:val="en-US"/>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753C44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CESI仿宋-GB2312" w:hAnsi="CESI仿宋-GB2312" w:eastAsia="CESI仿宋-GB2312" w:cs="CESI仿宋-GB2312"/>
                <w:color w:val="000000" w:themeColor="text1"/>
                <w:sz w:val="21"/>
                <w:szCs w:val="21"/>
                <w:lang w:val="en-US"/>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4" w:type="dxa"/>
            <w:tcBorders>
              <w:top w:val="nil"/>
              <w:left w:val="nil"/>
              <w:bottom w:val="single" w:color="auto" w:sz="8" w:space="0"/>
              <w:right w:val="single" w:color="auto" w:sz="8" w:space="0"/>
            </w:tcBorders>
            <w:shd w:val="clear" w:color="auto" w:fill="auto"/>
            <w:vAlign w:val="center"/>
          </w:tcPr>
          <w:p w14:paraId="49BE559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CESI仿宋-GB2312" w:hAnsi="CESI仿宋-GB2312" w:eastAsia="CESI仿宋-GB2312" w:cs="CESI仿宋-GB2312"/>
                <w:color w:val="000000" w:themeColor="text1"/>
                <w:sz w:val="21"/>
                <w:szCs w:val="21"/>
                <w:lang w:val="en-US"/>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31B3216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CESI仿宋-GB2312" w:hAnsi="CESI仿宋-GB2312" w:eastAsia="CESI仿宋-GB2312" w:cs="CESI仿宋-GB2312"/>
                <w:color w:val="000000" w:themeColor="text1"/>
                <w:sz w:val="21"/>
                <w:szCs w:val="21"/>
                <w:lang w:val="en-US"/>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c>
          <w:tcPr>
            <w:tcW w:w="575" w:type="dxa"/>
            <w:tcBorders>
              <w:top w:val="nil"/>
              <w:left w:val="nil"/>
              <w:bottom w:val="single" w:color="auto" w:sz="8" w:space="0"/>
              <w:right w:val="single" w:color="auto" w:sz="8" w:space="0"/>
            </w:tcBorders>
            <w:shd w:val="clear" w:color="auto" w:fill="auto"/>
            <w:vAlign w:val="center"/>
          </w:tcPr>
          <w:p w14:paraId="56D51BF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lang w:val="en-US" w:eastAsia="zh-CN"/>
                <w14:textFill>
                  <w14:solidFill>
                    <w14:schemeClr w14:val="tx1"/>
                  </w14:solidFill>
                </w14:textFill>
              </w:rPr>
              <w:t>0</w:t>
            </w:r>
          </w:p>
        </w:tc>
      </w:tr>
    </w:tbl>
    <w:p w14:paraId="0F5479D3">
      <w:pPr>
        <w:pStyle w:val="2"/>
        <w:bidi w:val="0"/>
        <w:rPr>
          <w:rFonts w:hint="eastAsia"/>
        </w:rPr>
      </w:pPr>
      <w:r>
        <w:rPr>
          <w:rFonts w:hint="eastAsia"/>
          <w:lang w:val="en-US" w:eastAsia="zh-CN"/>
        </w:rPr>
        <w:t>四</w:t>
      </w:r>
      <w:r>
        <w:rPr>
          <w:rFonts w:hint="eastAsia"/>
        </w:rPr>
        <w:t>、政府信息公开行政复议、行政诉讼情况</w:t>
      </w:r>
    </w:p>
    <w:p w14:paraId="6D18DFDE">
      <w:pPr>
        <w:bidi w:val="0"/>
        <w:rPr>
          <w:rFonts w:hint="eastAsia"/>
          <w:lang w:eastAsia="zh-CN"/>
        </w:rPr>
      </w:pPr>
      <w:r>
        <w:rPr>
          <w:rFonts w:hint="eastAsia"/>
          <w:lang w:eastAsia="zh-CN"/>
        </w:rPr>
        <w:t>2025年江夏区生态环境分局作为被申请人的政府信息公开行政复议案件共计</w:t>
      </w:r>
      <w:r>
        <w:rPr>
          <w:rFonts w:hint="eastAsia"/>
          <w:lang w:val="en-US" w:eastAsia="zh-CN"/>
        </w:rPr>
        <w:t>0</w:t>
      </w:r>
      <w:r>
        <w:rPr>
          <w:rFonts w:hint="eastAsia"/>
          <w:lang w:eastAsia="zh-CN"/>
        </w:rPr>
        <w:t>件；</w:t>
      </w:r>
      <w:r>
        <w:rPr>
          <w:rFonts w:hint="eastAsia"/>
          <w:lang w:val="en-US" w:eastAsia="zh-CN"/>
        </w:rPr>
        <w:t>其中</w:t>
      </w:r>
      <w:r>
        <w:rPr>
          <w:rFonts w:hint="eastAsia"/>
          <w:lang w:eastAsia="zh-CN"/>
        </w:rPr>
        <w:t>结果维持</w:t>
      </w:r>
      <w:r>
        <w:rPr>
          <w:rFonts w:hint="eastAsia"/>
          <w:lang w:val="en-US" w:eastAsia="zh-CN"/>
        </w:rPr>
        <w:t>0</w:t>
      </w:r>
      <w:r>
        <w:rPr>
          <w:rFonts w:hint="eastAsia"/>
          <w:lang w:eastAsia="zh-CN"/>
        </w:rPr>
        <w:t>件；</w:t>
      </w:r>
      <w:r>
        <w:rPr>
          <w:rFonts w:hint="eastAsia"/>
          <w:lang w:val="en-US" w:eastAsia="zh-CN"/>
        </w:rPr>
        <w:t>结果纠正0件；其他结果0件，未经复议直接起诉共计0件，其中结果维持0件；结果纠正0件；其他结果0件；尚未审结0件；复议后起诉0件，结果维持0件；其他结果0件；尚未审结0件。</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2"/>
        <w:gridCol w:w="652"/>
        <w:gridCol w:w="652"/>
        <w:gridCol w:w="585"/>
        <w:gridCol w:w="605"/>
        <w:gridCol w:w="585"/>
        <w:gridCol w:w="585"/>
        <w:gridCol w:w="589"/>
        <w:gridCol w:w="589"/>
        <w:gridCol w:w="603"/>
        <w:gridCol w:w="589"/>
        <w:gridCol w:w="589"/>
        <w:gridCol w:w="589"/>
        <w:gridCol w:w="591"/>
        <w:gridCol w:w="602"/>
      </w:tblGrid>
      <w:tr w14:paraId="6E4D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73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76E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行政复议</w:t>
            </w:r>
          </w:p>
        </w:tc>
        <w:tc>
          <w:tcPr>
            <w:tcW w:w="3262"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E55A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行政诉讼</w:t>
            </w:r>
          </w:p>
        </w:tc>
      </w:tr>
      <w:tr w14:paraId="279F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restart"/>
            <w:tcBorders>
              <w:top w:val="nil"/>
              <w:left w:val="single" w:color="auto" w:sz="4" w:space="0"/>
              <w:bottom w:val="single" w:color="auto" w:sz="4" w:space="0"/>
              <w:right w:val="single" w:color="auto" w:sz="4" w:space="0"/>
            </w:tcBorders>
            <w:shd w:val="clear" w:color="auto" w:fill="auto"/>
            <w:vAlign w:val="center"/>
          </w:tcPr>
          <w:p w14:paraId="37379E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结果维持</w:t>
            </w:r>
          </w:p>
        </w:tc>
        <w:tc>
          <w:tcPr>
            <w:tcW w:w="360" w:type="pct"/>
            <w:vMerge w:val="restart"/>
            <w:tcBorders>
              <w:top w:val="nil"/>
              <w:left w:val="single" w:color="auto" w:sz="4" w:space="0"/>
              <w:bottom w:val="single" w:color="auto" w:sz="4" w:space="0"/>
              <w:right w:val="single" w:color="auto" w:sz="4" w:space="0"/>
            </w:tcBorders>
            <w:shd w:val="clear" w:color="auto" w:fill="auto"/>
            <w:vAlign w:val="center"/>
          </w:tcPr>
          <w:p w14:paraId="009E4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结果纠正</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DE1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其他结果</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C9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尚未审结</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597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总计</w:t>
            </w:r>
          </w:p>
        </w:tc>
        <w:tc>
          <w:tcPr>
            <w:tcW w:w="16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7DB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未经复议直接起诉</w:t>
            </w:r>
          </w:p>
        </w:tc>
        <w:tc>
          <w:tcPr>
            <w:tcW w:w="163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BEA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复议后起诉</w:t>
            </w:r>
          </w:p>
        </w:tc>
      </w:tr>
      <w:tr w14:paraId="01B8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0" w:type="pct"/>
            <w:vMerge w:val="continue"/>
            <w:tcBorders>
              <w:top w:val="nil"/>
              <w:left w:val="single" w:color="auto" w:sz="4" w:space="0"/>
              <w:bottom w:val="single" w:color="auto" w:sz="4" w:space="0"/>
              <w:right w:val="single" w:color="auto" w:sz="4" w:space="0"/>
            </w:tcBorders>
            <w:shd w:val="clear" w:color="auto" w:fill="auto"/>
            <w:vAlign w:val="center"/>
          </w:tcPr>
          <w:p w14:paraId="3EB02B42">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CESI仿宋-GB2312" w:hAnsi="CESI仿宋-GB2312" w:eastAsia="CESI仿宋-GB2312" w:cs="CESI仿宋-GB2312"/>
              </w:rPr>
            </w:pPr>
          </w:p>
        </w:tc>
        <w:tc>
          <w:tcPr>
            <w:tcW w:w="360" w:type="pct"/>
            <w:vMerge w:val="continue"/>
            <w:tcBorders>
              <w:top w:val="nil"/>
              <w:left w:val="single" w:color="auto" w:sz="4" w:space="0"/>
              <w:bottom w:val="single" w:color="auto" w:sz="4" w:space="0"/>
              <w:right w:val="single" w:color="auto" w:sz="4" w:space="0"/>
            </w:tcBorders>
            <w:shd w:val="clear" w:color="auto" w:fill="auto"/>
            <w:vAlign w:val="center"/>
          </w:tcPr>
          <w:p w14:paraId="5B994106">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CESI仿宋-GB2312" w:hAnsi="CESI仿宋-GB2312" w:eastAsia="CESI仿宋-GB2312" w:cs="CESI仿宋-GB2312"/>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F6E2F">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CESI仿宋-GB2312" w:hAnsi="CESI仿宋-GB2312" w:eastAsia="CESI仿宋-GB2312" w:cs="CESI仿宋-GB2312"/>
              </w:rPr>
            </w:pPr>
          </w:p>
        </w:tc>
        <w:tc>
          <w:tcPr>
            <w:tcW w:w="3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4F42B">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CESI仿宋-GB2312" w:hAnsi="CESI仿宋-GB2312" w:eastAsia="CESI仿宋-GB2312" w:cs="CESI仿宋-GB2312"/>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BB817">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CESI仿宋-GB2312" w:hAnsi="CESI仿宋-GB2312" w:eastAsia="CESI仿宋-GB2312" w:cs="CESI仿宋-GB2312"/>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269FE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color w:val="333333"/>
                <w:sz w:val="21"/>
                <w:szCs w:val="21"/>
              </w:rPr>
            </w:pPr>
            <w:r>
              <w:rPr>
                <w:rFonts w:hint="eastAsia" w:ascii="CESI仿宋-GB2312" w:hAnsi="CESI仿宋-GB2312" w:eastAsia="CESI仿宋-GB2312" w:cs="CESI仿宋-GB2312"/>
                <w:color w:val="333333"/>
                <w:kern w:val="0"/>
                <w:sz w:val="20"/>
                <w:szCs w:val="20"/>
                <w:lang w:val="en-US" w:eastAsia="zh-CN"/>
              </w:rPr>
              <w:t>结果维持</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3B080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结果纠正</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0433A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其他结果</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712C2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尚未审结</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690D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000000"/>
                <w:kern w:val="0"/>
                <w:sz w:val="20"/>
                <w:szCs w:val="20"/>
                <w:lang w:val="en-US" w:eastAsia="zh-CN"/>
              </w:rPr>
              <w:t>总计</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4F194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结果维持</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4AA9C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结果纠正</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10496D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000000"/>
                <w:kern w:val="0"/>
                <w:sz w:val="20"/>
                <w:szCs w:val="20"/>
                <w:lang w:val="en-US" w:eastAsia="zh-CN"/>
              </w:rPr>
              <w:t>其他结果</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622D0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333333"/>
                <w:kern w:val="0"/>
                <w:sz w:val="20"/>
                <w:szCs w:val="20"/>
                <w:lang w:val="en-US" w:eastAsia="zh-CN"/>
              </w:rPr>
              <w:t>尚未审结</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FCD6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CESI仿宋-GB2312" w:hAnsi="CESI仿宋-GB2312" w:eastAsia="CESI仿宋-GB2312" w:cs="CESI仿宋-GB2312"/>
              </w:rPr>
            </w:pPr>
            <w:r>
              <w:rPr>
                <w:rFonts w:hint="eastAsia" w:ascii="CESI仿宋-GB2312" w:hAnsi="CESI仿宋-GB2312" w:eastAsia="CESI仿宋-GB2312" w:cs="CESI仿宋-GB2312"/>
                <w:color w:val="000000"/>
                <w:kern w:val="0"/>
                <w:sz w:val="20"/>
                <w:szCs w:val="20"/>
                <w:lang w:val="en-US" w:eastAsia="zh-CN"/>
              </w:rPr>
              <w:t>总计</w:t>
            </w:r>
          </w:p>
        </w:tc>
      </w:tr>
      <w:tr w14:paraId="1786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4324CEF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sz w:val="21"/>
                <w:szCs w:val="21"/>
                <w:lang w:val="en-US" w:eastAsia="zh-CN"/>
              </w:rPr>
              <w:t>0</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6369671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sz w:val="21"/>
                <w:szCs w:val="21"/>
                <w:lang w:val="en-US" w:eastAsia="zh-CN"/>
              </w:rPr>
              <w:t>0</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7C3C0BC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sz w:val="21"/>
                <w:szCs w:val="21"/>
                <w:lang w:val="en-US" w:eastAsia="zh-CN"/>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54906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sz w:val="21"/>
                <w:szCs w:val="21"/>
                <w:lang w:val="en-US" w:eastAsia="zh-CN"/>
              </w:rPr>
              <w:t>0</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71AB782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rPr>
            </w:pPr>
            <w:r>
              <w:rPr>
                <w:rFonts w:hint="eastAsia" w:ascii="CESI仿宋-GB2312" w:hAnsi="CESI仿宋-GB2312" w:eastAsia="CESI仿宋-GB2312" w:cs="CESI仿宋-GB2312"/>
                <w:color w:val="auto"/>
                <w:sz w:val="21"/>
                <w:szCs w:val="21"/>
                <w:lang w:val="en-US" w:eastAsia="zh-CN"/>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8726C6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rPr>
            </w:pPr>
            <w:r>
              <w:rPr>
                <w:rFonts w:hint="eastAsia" w:ascii="CESI仿宋-GB2312" w:hAnsi="CESI仿宋-GB2312" w:eastAsia="CESI仿宋-GB2312" w:cs="CESI仿宋-GB2312"/>
                <w:color w:val="auto"/>
                <w:sz w:val="21"/>
                <w:szCs w:val="21"/>
                <w:lang w:val="en-US" w:eastAsia="zh-CN"/>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139829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rPr>
            </w:pPr>
            <w:r>
              <w:rPr>
                <w:rFonts w:hint="eastAsia" w:ascii="CESI仿宋-GB2312" w:hAnsi="CESI仿宋-GB2312" w:eastAsia="CESI仿宋-GB2312" w:cs="CESI仿宋-GB2312"/>
                <w:color w:val="auto"/>
                <w:sz w:val="21"/>
                <w:szCs w:val="21"/>
                <w:lang w:val="en-US" w:eastAsia="zh-CN"/>
              </w:rPr>
              <w:t>0</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27853E3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rPr>
            </w:pPr>
            <w:r>
              <w:rPr>
                <w:rFonts w:hint="eastAsia" w:ascii="CESI仿宋-GB2312" w:hAnsi="CESI仿宋-GB2312" w:eastAsia="CESI仿宋-GB2312" w:cs="CESI仿宋-GB2312"/>
                <w:color w:val="auto"/>
                <w:sz w:val="21"/>
                <w:szCs w:val="21"/>
                <w:lang w:val="en-US" w:eastAsia="zh-CN"/>
              </w:rPr>
              <w:t>0</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799057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rPr>
            </w:pPr>
            <w:r>
              <w:rPr>
                <w:rFonts w:hint="eastAsia" w:ascii="CESI仿宋-GB2312" w:hAnsi="CESI仿宋-GB2312" w:eastAsia="CESI仿宋-GB2312" w:cs="CESI仿宋-GB2312"/>
                <w:color w:val="auto"/>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14:paraId="1C53CF6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rPr>
            </w:pPr>
            <w:r>
              <w:rPr>
                <w:rFonts w:hint="eastAsia" w:ascii="CESI仿宋-GB2312" w:hAnsi="CESI仿宋-GB2312" w:eastAsia="CESI仿宋-GB2312" w:cs="CESI仿宋-GB2312"/>
                <w:color w:val="auto"/>
                <w:sz w:val="21"/>
                <w:szCs w:val="21"/>
                <w:lang w:val="en-US" w:eastAsia="zh-CN"/>
              </w:rPr>
              <w:t>0</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5DDAB8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rPr>
            </w:pPr>
            <w:r>
              <w:rPr>
                <w:rFonts w:hint="eastAsia" w:ascii="CESI仿宋-GB2312" w:hAnsi="CESI仿宋-GB2312" w:eastAsia="CESI仿宋-GB2312" w:cs="CESI仿宋-GB2312"/>
                <w:color w:val="auto"/>
                <w:sz w:val="21"/>
                <w:szCs w:val="21"/>
                <w:lang w:val="en-US" w:eastAsia="zh-CN"/>
              </w:rPr>
              <w:t>0</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37D959D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rPr>
            </w:pPr>
            <w:r>
              <w:rPr>
                <w:rFonts w:hint="eastAsia" w:ascii="CESI仿宋-GB2312" w:hAnsi="CESI仿宋-GB2312" w:eastAsia="CESI仿宋-GB2312" w:cs="CESI仿宋-GB2312"/>
                <w:color w:val="auto"/>
                <w:sz w:val="21"/>
                <w:szCs w:val="21"/>
                <w:lang w:val="en-US" w:eastAsia="zh-CN"/>
              </w:rPr>
              <w:t>0</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14:paraId="731BD8E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lang w:val="en-US"/>
              </w:rPr>
            </w:pPr>
            <w:r>
              <w:rPr>
                <w:rFonts w:hint="eastAsia" w:ascii="CESI仿宋-GB2312" w:hAnsi="CESI仿宋-GB2312" w:eastAsia="CESI仿宋-GB2312" w:cs="CESI仿宋-GB2312"/>
                <w:color w:val="auto"/>
                <w:sz w:val="21"/>
                <w:szCs w:val="21"/>
                <w:lang w:val="en-US" w:eastAsia="zh-CN"/>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261F259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rPr>
            </w:pPr>
            <w:r>
              <w:rPr>
                <w:rFonts w:hint="eastAsia" w:ascii="CESI仿宋-GB2312" w:hAnsi="CESI仿宋-GB2312" w:eastAsia="CESI仿宋-GB2312" w:cs="CESI仿宋-GB2312"/>
                <w:color w:val="auto"/>
                <w:sz w:val="21"/>
                <w:szCs w:val="21"/>
                <w:lang w:val="en-US" w:eastAsia="zh-CN"/>
              </w:rPr>
              <w:t>0</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D25AE3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CESI仿宋-GB2312" w:hAnsi="CESI仿宋-GB2312" w:eastAsia="CESI仿宋-GB2312" w:cs="CESI仿宋-GB2312"/>
                <w:color w:val="auto"/>
                <w:sz w:val="21"/>
                <w:szCs w:val="21"/>
                <w:lang w:val="en-US" w:eastAsia="zh-CN"/>
              </w:rPr>
            </w:pPr>
            <w:r>
              <w:rPr>
                <w:rFonts w:hint="eastAsia" w:ascii="CESI仿宋-GB2312" w:hAnsi="CESI仿宋-GB2312" w:eastAsia="CESI仿宋-GB2312" w:cs="CESI仿宋-GB2312"/>
                <w:color w:val="auto"/>
                <w:sz w:val="21"/>
                <w:szCs w:val="21"/>
                <w:lang w:val="en-US" w:eastAsia="zh-CN"/>
              </w:rPr>
              <w:t>0</w:t>
            </w:r>
          </w:p>
        </w:tc>
      </w:tr>
    </w:tbl>
    <w:p w14:paraId="3C50F7AC">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rPr>
      </w:pPr>
      <w:r>
        <w:rPr>
          <w:rFonts w:hint="eastAsia"/>
        </w:rPr>
        <w:t>五、存在的主要问题及改进情况</w:t>
      </w:r>
    </w:p>
    <w:p w14:paraId="25EF86E0">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rPr>
      </w:pPr>
      <w:r>
        <w:rPr>
          <w:rFonts w:hint="eastAsia"/>
        </w:rPr>
        <w:t>（一）上年度存在的问题及改进情况</w:t>
      </w:r>
    </w:p>
    <w:p w14:paraId="4D74A388">
      <w:pPr>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lang w:val="en-US" w:eastAsia="zh-CN"/>
        </w:rPr>
        <w:t>2024年存在的主要问题：一是生态环境新闻报道与活动的策划和创新方面有待提高；二是信息公开队伍建设有待加强，以满足日益提高的各项工作要求需要；三是信息公开专业培训与环保业务工作培训有待加强。</w:t>
      </w:r>
    </w:p>
    <w:p w14:paraId="09F675E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eastAsia="仿宋_GB2312"/>
          <w:lang w:val="en-US" w:eastAsia="zh-CN"/>
        </w:rPr>
      </w:pPr>
      <w:r>
        <w:rPr>
          <w:rFonts w:hint="eastAsia"/>
          <w:lang w:val="en-US" w:eastAsia="zh-CN"/>
        </w:rPr>
        <w:t>2025年突出做好了以下几项工作：一是提升新闻报道频次，全年在中国环境报等平台刊发信息报道44篇，同比增加10篇；</w:t>
      </w:r>
      <w:r>
        <w:rPr>
          <w:rFonts w:hint="eastAsia" w:cstheme="minorBidi"/>
          <w:lang w:val="en-US" w:eastAsia="zh-CN"/>
        </w:rPr>
        <w:t>创新活动策划，在六五环境日等节点，联合团区委、高校志愿队</w:t>
      </w:r>
      <w:r>
        <w:rPr>
          <w:rFonts w:hint="eastAsia" w:ascii="Times New Roman" w:hAnsi="Times New Roman" w:eastAsia="仿宋_GB2312" w:cstheme="minorBidi"/>
        </w:rPr>
        <w:t>组织</w:t>
      </w:r>
      <w:r>
        <w:rPr>
          <w:rFonts w:hint="eastAsia" w:cstheme="minorBidi"/>
          <w:lang w:eastAsia="zh-CN"/>
        </w:rPr>
        <w:t>净林巡山等各类</w:t>
      </w:r>
      <w:r>
        <w:rPr>
          <w:rFonts w:hint="eastAsia" w:ascii="Times New Roman" w:hAnsi="Times New Roman" w:eastAsia="仿宋_GB2312" w:cstheme="minorBidi"/>
        </w:rPr>
        <w:t>环保志愿活动16次</w:t>
      </w:r>
      <w:r>
        <w:rPr>
          <w:rFonts w:hint="eastAsia" w:cstheme="minorBidi"/>
          <w:lang w:eastAsia="zh-CN"/>
        </w:rPr>
        <w:t>。二是健强</w:t>
      </w:r>
      <w:r>
        <w:rPr>
          <w:rFonts w:hint="eastAsia"/>
          <w:lang w:val="en-US" w:eastAsia="zh-CN"/>
        </w:rPr>
        <w:t>信息公开队伍，择优挑选业务骨干加入市生态环境局“推进数字生态文明建设”兴趣小组，积极参与相关课题研究与实践应用，不断提升能力素质。三是强化业务培训，联合市生态环境宣教中心，组织分局各单位开展“美丽武汉 宣教数智我先行”等活动，进一步充实干部队伍政府信息公开工作的专业知识，推动工作标准化、规范化。</w:t>
      </w:r>
    </w:p>
    <w:p w14:paraId="0B2C532D">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rPr>
      </w:pPr>
      <w:r>
        <w:rPr>
          <w:rFonts w:hint="eastAsia"/>
        </w:rPr>
        <w:t>（二）本年度存在的问题及下年度改进举措</w:t>
      </w:r>
    </w:p>
    <w:p w14:paraId="68DDB4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r>
        <w:rPr>
          <w:rFonts w:hint="default"/>
          <w:lang w:val="en-US" w:eastAsia="zh-CN"/>
        </w:rPr>
        <w:t>2025年度存在的问</w:t>
      </w:r>
      <w:r>
        <w:rPr>
          <w:rFonts w:hint="eastAsia"/>
          <w:lang w:val="en-US" w:eastAsia="zh-CN"/>
        </w:rPr>
        <w:t>题：政策解读跟进上级发布节奏不够及时，且解读形式较为单一，多以文字原文转发为主，缺乏通俗化、具象化呈现，群众理解难度较大。</w:t>
      </w:r>
    </w:p>
    <w:p w14:paraId="5C6033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lang w:val="en-US" w:eastAsia="zh-CN"/>
        </w:rPr>
        <w:t>2026年度改进举措：强化解读时效意识，建立上级政策快速响应机制，确保解读同步或紧跟发布；丰富解读形式，多采用图文解读、案例剖析等群众易理解的方式，提升政策传递效果。</w:t>
      </w:r>
    </w:p>
    <w:p w14:paraId="7432467B">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rPr>
      </w:pPr>
      <w:r>
        <w:rPr>
          <w:rFonts w:hint="eastAsia"/>
        </w:rPr>
        <w:t>六、其他需要报告的事项</w:t>
      </w:r>
    </w:p>
    <w:p w14:paraId="28C349A1">
      <w:pPr>
        <w:keepNext w:val="0"/>
        <w:keepLines w:val="0"/>
        <w:pageBreakBefore w:val="0"/>
        <w:kinsoku/>
        <w:wordWrap/>
        <w:overflowPunct/>
        <w:topLinePunct w:val="0"/>
        <w:autoSpaceDE/>
        <w:autoSpaceDN/>
        <w:bidi w:val="0"/>
        <w:adjustRightInd/>
        <w:snapToGrid/>
        <w:spacing w:line="520" w:lineRule="exact"/>
        <w:textAlignment w:val="auto"/>
        <w:rPr>
          <w:rFonts w:hint="eastAsia"/>
          <w:lang w:eastAsia="zh-CN"/>
        </w:rPr>
      </w:pPr>
      <w:r>
        <w:rPr>
          <w:rFonts w:hint="eastAsia" w:ascii="楷体_GB2312" w:hAnsi="楷体_GB2312" w:eastAsia="楷体_GB2312" w:cs="楷体_GB2312"/>
          <w:lang w:eastAsia="zh-CN"/>
        </w:rPr>
        <w:t>（一）政府信息处理费收取情况。</w:t>
      </w:r>
      <w:r>
        <w:rPr>
          <w:rFonts w:hint="eastAsia"/>
          <w:lang w:eastAsia="zh-CN"/>
        </w:rPr>
        <w:t>根据《政府信息公开信息处理费管理办法》要求，2025年度，江夏区生态环境分局收取信息公开处理费共计0元。</w:t>
      </w:r>
    </w:p>
    <w:p w14:paraId="46A8BD23">
      <w:pPr>
        <w:keepNext w:val="0"/>
        <w:keepLines w:val="0"/>
        <w:pageBreakBefore w:val="0"/>
        <w:kinsoku/>
        <w:wordWrap/>
        <w:overflowPunct/>
        <w:topLinePunct w:val="0"/>
        <w:autoSpaceDE/>
        <w:autoSpaceDN/>
        <w:bidi w:val="0"/>
        <w:adjustRightInd/>
        <w:snapToGrid/>
        <w:spacing w:line="520" w:lineRule="exact"/>
        <w:textAlignment w:val="auto"/>
        <w:rPr>
          <w:rFonts w:hint="eastAsia"/>
          <w:lang w:eastAsia="zh-CN"/>
        </w:rPr>
      </w:pPr>
      <w:r>
        <w:rPr>
          <w:rFonts w:hint="eastAsia" w:ascii="楷体_GB2312" w:hAnsi="楷体_GB2312" w:eastAsia="楷体_GB2312" w:cs="楷体_GB2312"/>
          <w:lang w:eastAsia="zh-CN"/>
        </w:rPr>
        <w:t>（二）建议提案办理公开情况。</w:t>
      </w:r>
      <w:r>
        <w:rPr>
          <w:rFonts w:hint="eastAsia"/>
          <w:lang w:eastAsia="zh-CN"/>
        </w:rPr>
        <w:t>2025年我局共承办省、市人大政协议案共</w:t>
      </w:r>
      <w:r>
        <w:rPr>
          <w:rFonts w:hint="eastAsia"/>
          <w:lang w:val="en-US" w:eastAsia="zh-CN"/>
        </w:rPr>
        <w:t>3</w:t>
      </w:r>
      <w:r>
        <w:rPr>
          <w:rFonts w:hint="eastAsia"/>
          <w:lang w:eastAsia="zh-CN"/>
        </w:rPr>
        <w:t>件，其中：省人大代表建议</w:t>
      </w:r>
      <w:r>
        <w:rPr>
          <w:rFonts w:hint="eastAsia"/>
          <w:lang w:val="en-US" w:eastAsia="zh-CN"/>
        </w:rPr>
        <w:t>2</w:t>
      </w:r>
      <w:r>
        <w:rPr>
          <w:rFonts w:hint="eastAsia"/>
          <w:lang w:eastAsia="zh-CN"/>
        </w:rPr>
        <w:t>件（区级主办</w:t>
      </w:r>
      <w:r>
        <w:rPr>
          <w:rFonts w:hint="eastAsia"/>
          <w:lang w:val="en-US" w:eastAsia="zh-CN"/>
        </w:rPr>
        <w:t>1</w:t>
      </w:r>
      <w:r>
        <w:rPr>
          <w:rFonts w:hint="eastAsia"/>
          <w:lang w:eastAsia="zh-CN"/>
        </w:rPr>
        <w:t>件，会办</w:t>
      </w:r>
      <w:r>
        <w:rPr>
          <w:rFonts w:hint="eastAsia"/>
          <w:lang w:val="en-US" w:eastAsia="zh-CN"/>
        </w:rPr>
        <w:t>1</w:t>
      </w:r>
      <w:r>
        <w:rPr>
          <w:rFonts w:hint="eastAsia"/>
          <w:lang w:eastAsia="zh-CN"/>
        </w:rPr>
        <w:t>件）；市人大代表建议</w:t>
      </w:r>
      <w:r>
        <w:rPr>
          <w:rFonts w:hint="eastAsia"/>
          <w:lang w:val="en-US" w:eastAsia="zh-CN"/>
        </w:rPr>
        <w:t>1</w:t>
      </w:r>
      <w:r>
        <w:rPr>
          <w:rFonts w:hint="eastAsia"/>
          <w:lang w:eastAsia="zh-CN"/>
        </w:rPr>
        <w:t>件（区级会办），承办的所有议提案均已在规定期限内办理完毕。2025年共办理区人大代表建议</w:t>
      </w:r>
      <w:r>
        <w:rPr>
          <w:rFonts w:hint="eastAsia"/>
          <w:lang w:val="en-US" w:eastAsia="zh-CN"/>
        </w:rPr>
        <w:t>2</w:t>
      </w:r>
      <w:r>
        <w:rPr>
          <w:rFonts w:hint="eastAsia"/>
          <w:lang w:eastAsia="zh-CN"/>
        </w:rPr>
        <w:t>件（会办），均已全部办结并答复完毕，办复率、走访率、满意率（基本满意率）均达到了</w:t>
      </w:r>
      <w:r>
        <w:rPr>
          <w:rFonts w:hint="eastAsia"/>
          <w:lang w:val="en-US" w:eastAsia="zh-CN"/>
        </w:rPr>
        <w:t>100%</w:t>
      </w:r>
      <w:r>
        <w:rPr>
          <w:rFonts w:hint="eastAsia"/>
          <w:lang w:eastAsia="zh-CN"/>
        </w:rPr>
        <w:t>；共办理区政协建议案</w:t>
      </w:r>
      <w:r>
        <w:rPr>
          <w:rFonts w:hint="eastAsia"/>
          <w:lang w:val="en-US" w:eastAsia="zh-CN"/>
        </w:rPr>
        <w:t>2</w:t>
      </w:r>
      <w:r>
        <w:rPr>
          <w:rFonts w:hint="eastAsia"/>
          <w:lang w:eastAsia="zh-CN"/>
        </w:rPr>
        <w:t>件（主办</w:t>
      </w:r>
      <w:r>
        <w:rPr>
          <w:rFonts w:hint="eastAsia"/>
          <w:lang w:val="en-US" w:eastAsia="zh-CN"/>
        </w:rPr>
        <w:t>1件，会办1件</w:t>
      </w:r>
      <w:r>
        <w:rPr>
          <w:rFonts w:hint="eastAsia"/>
          <w:lang w:eastAsia="zh-CN"/>
        </w:rPr>
        <w:t>），提案</w:t>
      </w:r>
      <w:r>
        <w:rPr>
          <w:rFonts w:hint="eastAsia"/>
          <w:lang w:val="en-US" w:eastAsia="zh-CN"/>
        </w:rPr>
        <w:t>5</w:t>
      </w:r>
      <w:r>
        <w:rPr>
          <w:rFonts w:hint="eastAsia"/>
          <w:lang w:eastAsia="zh-CN"/>
        </w:rPr>
        <w:t>件（主办</w:t>
      </w:r>
      <w:r>
        <w:rPr>
          <w:rFonts w:hint="eastAsia"/>
          <w:lang w:val="en-US" w:eastAsia="zh-CN"/>
        </w:rPr>
        <w:t>2件，会办3件</w:t>
      </w:r>
      <w:r>
        <w:rPr>
          <w:rFonts w:hint="eastAsia"/>
          <w:lang w:eastAsia="zh-CN"/>
        </w:rPr>
        <w:t>）。</w:t>
      </w:r>
      <w:r>
        <w:rPr>
          <w:rFonts w:hint="eastAsia"/>
          <w:lang w:val="en-US" w:eastAsia="zh-CN"/>
        </w:rPr>
        <w:t>2</w:t>
      </w:r>
      <w:r>
        <w:rPr>
          <w:rFonts w:hint="eastAsia"/>
          <w:lang w:eastAsia="zh-CN"/>
        </w:rPr>
        <w:t>件建议案和</w:t>
      </w:r>
      <w:r>
        <w:rPr>
          <w:rFonts w:hint="eastAsia"/>
          <w:lang w:val="en-US" w:eastAsia="zh-CN"/>
        </w:rPr>
        <w:t>5</w:t>
      </w:r>
      <w:r>
        <w:rPr>
          <w:rFonts w:hint="eastAsia"/>
          <w:lang w:eastAsia="zh-CN"/>
        </w:rPr>
        <w:t>件提案已全部办结并答复完毕，办复率、走访率、满意率（基本满意率）均达到了</w:t>
      </w:r>
      <w:r>
        <w:rPr>
          <w:rFonts w:hint="eastAsia"/>
          <w:lang w:val="en-US" w:eastAsia="zh-CN"/>
        </w:rPr>
        <w:t>100</w:t>
      </w:r>
      <w:r>
        <w:rPr>
          <w:rFonts w:hint="eastAsia"/>
          <w:lang w:eastAsia="zh-CN"/>
        </w:rPr>
        <w:t>%。</w:t>
      </w:r>
    </w:p>
    <w:p w14:paraId="653909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ascii="楷体_GB2312" w:hAnsi="楷体_GB2312" w:eastAsia="楷体_GB2312" w:cs="楷体_GB2312"/>
          <w:lang w:val="en-US" w:eastAsia="zh-CN"/>
        </w:rPr>
        <w:t>（三）重点领域政府信息公开情况。</w:t>
      </w:r>
      <w:r>
        <w:rPr>
          <w:rFonts w:hint="eastAsia"/>
          <w:lang w:val="en-US" w:eastAsia="zh-CN"/>
        </w:rPr>
        <w:t>2025年我局共发布发布饮用水源简报、地表水简报、重点污染源监督监测结果简报、双随机检查结果公示及环保督察整改完成情况公示共计46条。</w:t>
      </w:r>
    </w:p>
    <w:p w14:paraId="575BBDC2">
      <w:pPr>
        <w:keepNext w:val="0"/>
        <w:keepLines w:val="0"/>
        <w:pageBreakBefore w:val="0"/>
        <w:widowControl w:val="0"/>
        <w:kinsoku/>
        <w:wordWrap/>
        <w:overflowPunct/>
        <w:topLinePunct w:val="0"/>
        <w:autoSpaceDE/>
        <w:autoSpaceDN/>
        <w:bidi w:val="0"/>
        <w:adjustRightInd/>
        <w:snapToGrid/>
        <w:spacing w:line="520" w:lineRule="exact"/>
        <w:ind w:left="3520" w:leftChars="1100" w:firstLine="0" w:firstLineChars="0"/>
        <w:jc w:val="center"/>
        <w:textAlignment w:val="auto"/>
        <w:rPr>
          <w:rFonts w:hint="eastAsia"/>
          <w:color w:val="000000" w:themeColor="text1"/>
          <w:lang w:eastAsia="zh-CN"/>
          <w14:textFill>
            <w14:solidFill>
              <w14:schemeClr w14:val="tx1"/>
            </w14:solidFill>
          </w14:textFill>
        </w:rPr>
      </w:pPr>
    </w:p>
    <w:p w14:paraId="426BD4C1">
      <w:pPr>
        <w:keepNext w:val="0"/>
        <w:keepLines w:val="0"/>
        <w:pageBreakBefore w:val="0"/>
        <w:widowControl w:val="0"/>
        <w:kinsoku/>
        <w:wordWrap/>
        <w:overflowPunct/>
        <w:topLinePunct w:val="0"/>
        <w:autoSpaceDE/>
        <w:autoSpaceDN/>
        <w:bidi w:val="0"/>
        <w:adjustRightInd/>
        <w:snapToGrid/>
        <w:spacing w:line="520" w:lineRule="exact"/>
        <w:ind w:left="3520" w:leftChars="1100" w:firstLine="0" w:firstLineChars="0"/>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武汉市生态环境局江夏区分局</w:t>
      </w:r>
    </w:p>
    <w:p w14:paraId="65161E0F">
      <w:pPr>
        <w:keepNext w:val="0"/>
        <w:keepLines w:val="0"/>
        <w:pageBreakBefore w:val="0"/>
        <w:widowControl w:val="0"/>
        <w:kinsoku/>
        <w:wordWrap/>
        <w:overflowPunct/>
        <w:topLinePunct w:val="0"/>
        <w:autoSpaceDE/>
        <w:autoSpaceDN/>
        <w:bidi w:val="0"/>
        <w:adjustRightInd/>
        <w:snapToGrid/>
        <w:spacing w:line="520" w:lineRule="exact"/>
        <w:ind w:left="3520" w:leftChars="1100" w:firstLine="0" w:firstLineChars="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2026年1月14日</w:t>
      </w:r>
    </w:p>
    <w:sectPr>
      <w:footerReference r:id="rId5" w:type="default"/>
      <w:pgSz w:w="11906" w:h="16838"/>
      <w:pgMar w:top="2098" w:right="1474" w:bottom="1984" w:left="1587"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1B9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6D76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36D76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1B15"/>
    <w:multiLevelType w:val="singleLevel"/>
    <w:tmpl w:val="03A61B15"/>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B52A9"/>
    <w:rsid w:val="05281683"/>
    <w:rsid w:val="0565620F"/>
    <w:rsid w:val="05F11FCC"/>
    <w:rsid w:val="07A31495"/>
    <w:rsid w:val="0BB028C9"/>
    <w:rsid w:val="11246C2D"/>
    <w:rsid w:val="14154128"/>
    <w:rsid w:val="1BED46E4"/>
    <w:rsid w:val="22A45464"/>
    <w:rsid w:val="22C03710"/>
    <w:rsid w:val="29FF2D74"/>
    <w:rsid w:val="41B403DB"/>
    <w:rsid w:val="4C077E96"/>
    <w:rsid w:val="50774E75"/>
    <w:rsid w:val="51465964"/>
    <w:rsid w:val="52F67C97"/>
    <w:rsid w:val="578D66F1"/>
    <w:rsid w:val="5BFB75FB"/>
    <w:rsid w:val="5CCA31A3"/>
    <w:rsid w:val="5D9E3405"/>
    <w:rsid w:val="6BEF2B0E"/>
    <w:rsid w:val="6E2214E9"/>
    <w:rsid w:val="722F39EB"/>
    <w:rsid w:val="763151F9"/>
    <w:rsid w:val="781343BD"/>
    <w:rsid w:val="7986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outlineLvl w:val="0"/>
    </w:pPr>
    <w:rPr>
      <w:rFonts w:ascii="黑体" w:hAnsi="黑体" w:eastAsia="黑体" w:cs="黑体"/>
    </w:rPr>
  </w:style>
  <w:style w:type="paragraph" w:styleId="3">
    <w:name w:val="heading 2"/>
    <w:basedOn w:val="1"/>
    <w:next w:val="1"/>
    <w:unhideWhenUsed/>
    <w:qFormat/>
    <w:uiPriority w:val="0"/>
    <w:pPr>
      <w:outlineLvl w:val="1"/>
    </w:pPr>
    <w:rPr>
      <w:rFonts w:ascii="楷体_GB2312" w:hAnsi="楷体_GB2312" w:eastAsia="楷体_GB2312" w:cs="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01 正文-首行缩进2字符"/>
    <w:basedOn w:val="1"/>
    <w:qFormat/>
    <w:uiPriority w:val="0"/>
    <w:pPr>
      <w:widowControl w:val="0"/>
      <w:spacing w:before="50" w:beforeLines="50" w:after="50" w:afterLines="50" w:line="360" w:lineRule="auto"/>
      <w:ind w:firstLine="200" w:firstLineChars="200"/>
      <w:jc w:val="both"/>
    </w:pPr>
    <w:rPr>
      <w:rFonts w:ascii="Arial" w:hAnsi="Arial" w:eastAsia="宋体" w:cs="Arial"/>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1410</Words>
  <Characters>1454</Characters>
  <Lines>0</Lines>
  <Paragraphs>0</Paragraphs>
  <TotalTime>2</TotalTime>
  <ScaleCrop>false</ScaleCrop>
  <LinksUpToDate>false</LinksUpToDate>
  <CharactersWithSpaces>1454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2025-04-14T06:50:00Z</dcterms:created>
  <dc:creator>Administrator</dc:creator>
  <cp:lastModifiedBy>母书聪</cp:lastModifiedBy>
  <dcterms:modified xsi:type="dcterms:W3CDTF">2026-01-15T02:36:18Z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42CE1DBD62B14753B51FF35D659296F2_12</vt:lpwstr>
  </property>
  <property fmtid="{D5CDD505-2E9C-101B-9397-08002B2CF9AE}" pid="4" name="KSOTemplateDocerSaveRecord">
    <vt:lpwstr>eyJoZGlkIjoiOThjZDBhZDM0MjM5YWYwOWVmNjNkNmY1ODE2NGIyMTUiLCJ1c2VySWQiOiIzNDk5NzY4MzEifQ==</vt:lpwstr>
  </property>
</Properties>
</file>