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keepNext w:val="0"/>
        <w:keepLines w:val="0"/>
        <w:pageBreakBefore w:val="0"/>
        <w:kinsoku/>
        <w:wordWrap/>
        <w:topLinePunct w:val="0"/>
        <w:bidi w:val="0"/>
        <w:adjustRightInd/>
        <w:spacing w:line="560" w:lineRule="exact"/>
        <w:ind w:left="0" w:right="0"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color w:val="000000"/>
          <w:sz w:val="44"/>
          <w:szCs w:val="44"/>
        </w:rPr>
        <w:t>武汉市江夏区市场监督管理局</w:t>
      </w:r>
    </w:p>
    <w:p w14:paraId="23B06EB9">
      <w:pPr>
        <w:keepNext w:val="0"/>
        <w:keepLines w:val="0"/>
        <w:pageBreakBefore w:val="0"/>
        <w:kinsoku/>
        <w:wordWrap/>
        <w:topLinePunct w:val="0"/>
        <w:bidi w:val="0"/>
        <w:adjustRightInd/>
        <w:spacing w:line="560" w:lineRule="exact"/>
        <w:ind w:left="0" w:right="0" w:firstLine="0" w:firstLineChars="0"/>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行政处罚决定书</w:t>
      </w:r>
    </w:p>
    <w:p w14:paraId="5B59B284">
      <w:pPr>
        <w:keepNext w:val="0"/>
        <w:keepLines w:val="0"/>
        <w:pageBreakBefore w:val="0"/>
        <w:widowControl/>
        <w:kinsoku/>
        <w:wordWrap/>
        <w:topLinePunct w:val="0"/>
        <w:bidi w:val="0"/>
        <w:adjustRightInd/>
        <w:spacing w:line="560" w:lineRule="exact"/>
        <w:ind w:left="0" w:right="0" w:firstLine="0" w:firstLineChars="0"/>
        <w:jc w:val="center"/>
        <w:rPr>
          <w:rFonts w:hint="eastAsia" w:ascii="仿宋_GB2312" w:hAnsi="仿宋_GB2312" w:eastAsia="仿宋_GB2312" w:cs="仿宋_GB2312"/>
          <w:bCs/>
          <w:color w:val="000000"/>
          <w:sz w:val="32"/>
          <w:szCs w:val="32"/>
        </w:rPr>
      </w:pPr>
      <w:bookmarkStart w:id="0" w:name="OLE_LINK1"/>
      <w:r>
        <w:rPr>
          <w:rFonts w:hint="eastAsia" w:ascii="仿宋_GB2312" w:hAnsi="仿宋_GB2312" w:eastAsia="仿宋_GB2312" w:cs="仿宋_GB2312"/>
          <w:bCs/>
          <w:color w:val="000000"/>
          <w:sz w:val="32"/>
          <w:szCs w:val="32"/>
        </w:rPr>
        <w:t>夏市监处罚〔2026〕43号</w:t>
      </w:r>
    </w:p>
    <w:bookmarkEnd w:id="0"/>
    <w:p w14:paraId="494DED24">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rPr>
          <w:rFonts w:hint="eastAsia" w:ascii="仿宋_GB2312" w:hAnsi="仿宋_GB2312" w:eastAsia="仿宋_GB2312" w:cs="仿宋_GB2312"/>
          <w:kern w:val="1"/>
          <w:sz w:val="32"/>
          <w:szCs w:val="32"/>
        </w:rPr>
      </w:pPr>
    </w:p>
    <w:p w14:paraId="063BD282">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当事人：武汉瀛泓幕墙装饰工程队</w:t>
      </w:r>
    </w:p>
    <w:p w14:paraId="40077781">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rPr>
          <w:rFonts w:hint="eastAsia"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统一社会信用代码（注册号）：91420115774551439T</w:t>
      </w:r>
    </w:p>
    <w:p w14:paraId="79806521">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住所（住址）：武汉市江夏区纸坊大街政府小队院内</w:t>
      </w:r>
    </w:p>
    <w:p w14:paraId="4DB497F3">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rPr>
          <w:rFonts w:hint="eastAsia"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法定代表人（负责人、经营者）：李明朗</w:t>
      </w:r>
    </w:p>
    <w:p w14:paraId="243633F3">
      <w:pPr>
        <w:keepNext w:val="0"/>
        <w:keepLines w:val="0"/>
        <w:pageBreakBefore w:val="0"/>
        <w:widowControl/>
        <w:suppressAutoHyphens/>
        <w:kinsoku/>
        <w:wordWrap/>
        <w:topLinePunct w:val="0"/>
        <w:autoSpaceDE w:val="0"/>
        <w:autoSpaceDN w:val="0"/>
        <w:bidi w:val="0"/>
        <w:adjustRightInd/>
        <w:spacing w:line="560" w:lineRule="exact"/>
        <w:ind w:left="0" w:right="0" w:firstLine="0" w:firstLineChars="0"/>
        <w:textAlignment w:val="center"/>
        <w:rPr>
          <w:rFonts w:hint="eastAsia" w:ascii="仿宋_GB2312" w:hAnsi="仿宋_GB2312" w:eastAsia="仿宋_GB2312" w:cs="仿宋_GB2312"/>
          <w:kern w:val="1"/>
          <w:sz w:val="32"/>
          <w:szCs w:val="32"/>
          <w:u w:val="single"/>
        </w:rPr>
      </w:pPr>
    </w:p>
    <w:p w14:paraId="7A664C39">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管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10月31日对当事人登记住所进行了检查，查找不到该企业，通过当事人预留的电话号码也无法取得联系，2025年10月31日，本局予以立案，案件现已调查终结。</w:t>
      </w:r>
    </w:p>
    <w:p w14:paraId="78534437">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查，当事人于2005年1月31日登记成立，2015年—2025年连续11年未申报年报被列异名录，2019年9月3日因列入经营异常名录届满3年仍未履行公示义务被列入严重违法企业名单，2026年1月20日，本局执法人员再次对当事人住所进行检查，发现纸坊大街政府小队</w:t>
      </w:r>
      <w:bookmarkStart w:id="1" w:name="_GoBack"/>
      <w:bookmarkEnd w:id="1"/>
      <w:r>
        <w:rPr>
          <w:rFonts w:hint="eastAsia" w:ascii="仿宋_GB2312" w:hAnsi="仿宋_GB2312" w:eastAsia="仿宋_GB2312" w:cs="仿宋_GB2312"/>
          <w:color w:val="000000"/>
          <w:sz w:val="32"/>
          <w:szCs w:val="32"/>
        </w:rPr>
        <w:t>院内没有该企业，经询问周边商户、居民及辖区居民委员会，均表示未见过该企业在注册地址经营。拨打注册登记时当事人留下的电话13936179871提示为空号，无法联系到当事人。2025年9月3日，江夏区税务局出具《连续两年以上未年报企业名单》中，显示当事人未进行税务登记的事实。</w:t>
      </w:r>
    </w:p>
    <w:p w14:paraId="0A913C7B">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上述事实，主要有以下证据证明：</w:t>
      </w:r>
    </w:p>
    <w:p w14:paraId="634139FF">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1.《武汉市市场监督管理局、国家税务总局武汉市税务局关于进一步明确长期停业未经营市场主体清理工作相关要求的通知》（武市监〔2022〕75号）文件1份，证明案件来源依据。</w:t>
      </w:r>
    </w:p>
    <w:p w14:paraId="1D530719">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2.《现场笔录》1份、社区证明1份及现场核查照片2张，证明本局执法人员对当事人登记住所现场进行核查，未发现有开展经营活动的事实；</w:t>
      </w:r>
    </w:p>
    <w:p w14:paraId="7032D30C">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3.武汉市一体化智慧监管平台截图1张及电话记录截图1张，证明当事人电话以及无法取得联系的事实；</w:t>
      </w:r>
    </w:p>
    <w:p w14:paraId="6F097203">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4.国家企业信用信息公示系统截图打印件2张，证明当事人主体信息及其连续两年以上未申报年报的事实；</w:t>
      </w:r>
    </w:p>
    <w:p w14:paraId="2E10110F">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国家税务总局武汉市江夏区税务局提供的《连续两年以上未年报企业名单》1份，证明当事人未进行税务登记的事实。因当事人不在登记住所经营，《行政处罚告知书》无法直接送达或是邮寄送达，遂采取公告方式进行送达。2026年1月5日，本局在江夏区人民政府政务网发布了《武汉市江夏区市场监督管理局行政处罚文书送达公告》（夏市监罚告字〔2026〕20号），告知当事人拟作出行政处罚的事实、理由和依据，同时告知其依法享有陈述、申辩和申请听证的权利，当事人在法定期限内未提出陈述、申辩，也未申请听证。</w:t>
      </w:r>
    </w:p>
    <w:p w14:paraId="4923DD91">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局认为，《企业信息公示暂行条例》第八条第一款规定“企业应当于每年1月1日至6月30日，通过国家企业信用信息公示系统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应当吊销当事人营业执照。</w:t>
      </w:r>
    </w:p>
    <w:p w14:paraId="0C3003DC">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当事人无法取得联系、未进行税务登记，长期未发现当事人从事经营活动迹象，符合《湖北省市场监督管理行政处罚裁量规则》第十六条第一款第七项“当事人有下列情形之一的，可以依法从重处罚：（七）其他依法可以从重行政处罚的”的规定，具有可以从重处罚的情节。</w:t>
      </w:r>
    </w:p>
    <w:p w14:paraId="14F479AA">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综上，当事人上述行为违反了《企业信息公示暂行条例》第八条第一款的规定，依据《企业信息公示暂行条例》第十八条第一款之规定，决定给予当事人吊销《营业执照》的处罚。</w:t>
      </w:r>
    </w:p>
    <w:p w14:paraId="3BBAB0C7">
      <w:pPr>
        <w:keepNext w:val="0"/>
        <w:keepLines w:val="0"/>
        <w:pageBreakBefore w:val="0"/>
        <w:widowControl/>
        <w:suppressAutoHyphens/>
        <w:kinsoku/>
        <w:wordWrap/>
        <w:overflowPunct w:val="0"/>
        <w:topLinePunct w:val="0"/>
        <w:bidi w:val="0"/>
        <w:adjustRightInd/>
        <w:spacing w:line="560" w:lineRule="exac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2308559F">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2C1DC9C3">
      <w:pPr>
        <w:keepNext w:val="0"/>
        <w:keepLines w:val="0"/>
        <w:pageBreakBefore w:val="0"/>
        <w:widowControl/>
        <w:suppressAutoHyphens/>
        <w:kinsoku/>
        <w:wordWrap w:val="0"/>
        <w:topLinePunct w:val="0"/>
        <w:bidi w:val="0"/>
        <w:adjustRightInd/>
        <w:snapToGrid w:val="0"/>
        <w:spacing w:line="560" w:lineRule="exact"/>
        <w:ind w:left="0" w:right="0" w:firstLine="0" w:firstLineChars="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武汉市江夏区市场监督管理局</w:t>
      </w:r>
      <w:r>
        <w:rPr>
          <w:rFonts w:hint="eastAsia" w:ascii="仿宋_GB2312" w:hAnsi="仿宋_GB2312" w:eastAsia="仿宋_GB2312" w:cs="仿宋_GB2312"/>
          <w:color w:val="000000"/>
          <w:sz w:val="32"/>
          <w:szCs w:val="32"/>
          <w:lang w:val="en-US" w:eastAsia="zh-CN"/>
        </w:rPr>
        <w:t xml:space="preserve">   </w:t>
      </w:r>
    </w:p>
    <w:p w14:paraId="29B26D6F">
      <w:pPr>
        <w:keepNext w:val="0"/>
        <w:keepLines w:val="0"/>
        <w:pageBreakBefore w:val="0"/>
        <w:widowControl/>
        <w:suppressAutoHyphens/>
        <w:kinsoku/>
        <w:wordWrap w:val="0"/>
        <w:topLinePunct w:val="0"/>
        <w:bidi w:val="0"/>
        <w:adjustRightInd/>
        <w:snapToGrid w:val="0"/>
        <w:spacing w:line="560" w:lineRule="exact"/>
        <w:ind w:left="0" w:right="0" w:firstLine="0" w:firstLineChars="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r>
        <w:rPr>
          <w:rFonts w:hint="eastAsia" w:ascii="仿宋_GB2312" w:hAnsi="仿宋_GB2312" w:eastAsia="仿宋_GB2312" w:cs="仿宋_GB2312"/>
          <w:color w:val="000000"/>
          <w:sz w:val="32"/>
          <w:szCs w:val="32"/>
          <w:lang w:val="en-US" w:eastAsia="zh-CN"/>
        </w:rPr>
        <w:t xml:space="preserve">           </w:t>
      </w:r>
    </w:p>
    <w:p w14:paraId="6A619EC4">
      <w:pPr>
        <w:keepNext w:val="0"/>
        <w:keepLines w:val="0"/>
        <w:pageBreakBefore w:val="0"/>
        <w:widowControl/>
        <w:suppressAutoHyphens/>
        <w:kinsoku/>
        <w:wordWrap w:val="0"/>
        <w:topLinePunct w:val="0"/>
        <w:bidi w:val="0"/>
        <w:adjustRightInd/>
        <w:snapToGrid w:val="0"/>
        <w:spacing w:line="560" w:lineRule="exact"/>
        <w:ind w:left="0" w:right="0" w:firstLine="0" w:firstLineChars="0"/>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2026年2月13日</w:t>
      </w:r>
      <w:r>
        <w:rPr>
          <w:rFonts w:hint="eastAsia" w:ascii="仿宋_GB2312" w:hAnsi="仿宋_GB2312" w:eastAsia="仿宋_GB2312" w:cs="仿宋_GB2312"/>
          <w:color w:val="000000"/>
          <w:sz w:val="32"/>
          <w:szCs w:val="32"/>
          <w:lang w:val="en-US" w:eastAsia="zh-CN"/>
        </w:rPr>
        <w:t xml:space="preserve">        </w:t>
      </w:r>
    </w:p>
    <w:p w14:paraId="23FEE2DA">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11CD38D3">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5F456247">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406EC746">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color w:val="000000"/>
          <w:sz w:val="32"/>
          <w:szCs w:val="32"/>
        </w:rPr>
      </w:pPr>
    </w:p>
    <w:p w14:paraId="12C2F3A0">
      <w:pPr>
        <w:keepNext w:val="0"/>
        <w:keepLines w:val="0"/>
        <w:pageBreakBefore w:val="0"/>
        <w:widowControl/>
        <w:suppressAutoHyphens/>
        <w:kinsoku/>
        <w:wordWrap/>
        <w:topLinePunct w:val="0"/>
        <w:bidi w:val="0"/>
        <w:adjustRightInd/>
        <w:snapToGrid w:val="0"/>
        <w:spacing w:line="560" w:lineRule="exact"/>
        <w:ind w:left="0" w:right="0" w:firstLine="0" w:firstLineChars="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（市场监管部门将依法向社会公开本行政处罚决定信息）</w:t>
      </w:r>
    </w:p>
    <w:sectPr>
      <w:headerReference r:id="rId4" w:type="first"/>
      <w:footerReference r:id="rId6" w:type="first"/>
      <w:headerReference r:id="rId3" w:type="default"/>
      <w:footerReference r:id="rId5" w:type="default"/>
      <w:type w:val="continuous"/>
      <w:pgSz w:w="11906" w:h="16838"/>
      <w:pgMar w:top="2098" w:right="1474" w:bottom="1984" w:left="1587"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仿宋_GB2312"/>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5EBE0FB2"/>
    <w:rsid w:val="FD4F7906"/>
    <w:rsid w:val="FDF77D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a16svg="http://schemas.microsoft.com/office/drawing/2016/SVG/main" xmlns:dgm1611="http://schemas.microsoft.com/office/drawing/2016/11/diagram" xmlns:dgm1612="http://schemas.microsoft.com/office/drawing/2016/12/diagram" xmlns:iact="http://schemas.microsoft.com/office/powerpoint/2014/inkAction" xmlns:c16ac="http://schemas.microsoft.com/office/drawing/2014/chart/ac" xmlns:pic="http://schemas.openxmlformats.org/drawingml/2006/picture" xmlns:wpc="http://schemas.microsoft.com/office/word/2010/wordprocessingCanvas" xmlns:c14="http://schemas.microsoft.com/office/drawing/2007/8/2/chart" xmlns:adec="http://schemas.microsoft.com/office/drawing/2017/decorative" xmlns:c15="http://schemas.microsoft.com/office/drawing/2012/chart" xmlns:wpg="http://schemas.microsoft.com/office/word/2010/wordprocessingGroup" xmlns:c16="http://schemas.microsoft.com/office/drawing/2014/chart" xmlns:wetp="http://schemas.microsoft.com/office/webextensions/taskpanes/2010/11" xmlns:we="http://schemas.microsoft.com/office/webextensions/webextension/2010/11" xmlns:wps="http://schemas.microsoft.com/office/word/2010/wordprocessingShape" xmlns:a13cmd="http://schemas.microsoft.com/office/drawing/2013/main/command" xmlns:wp="http://schemas.openxmlformats.org/drawingml/2006/wordprocessingDrawing" xmlns:sl="http://schemas.openxmlformats.org/schemaLibrary/2006/main" xmlns:a="http://schemas.openxmlformats.org/drawingml/2006/main" xmlns:c="http://schemas.openxmlformats.org/drawingml/2006/chart" xmlns:pvml="urn:schemas-microsoft-com:office:powerpoint" xmlns:am3d="http://schemas.microsoft.com/office/drawing/2017/model3d" xmlns:msink="http://schemas.microsoft.com/ink/2010/main" xmlns:anam3d="http://schemas.microsoft.com/office/drawing/2018/animation/model3d" xmlns:ns38="http://www.w3.org/1998/Math/MathML" xmlns:ns39="http://www.w3.org/2003/InkML" xmlns:m="http://schemas.openxmlformats.org/officeDocument/2006/math" xmlns:o="urn:schemas-microsoft-com:office:office" xmlns:r="http://schemas.openxmlformats.org/officeDocument/2006/relationships" xmlns:odgm="http://opendope.org/SmartArt/DataHierarchy" xmlns:v="urn:schemas-microsoft-com:vml" xmlns:a14="http://schemas.microsoft.com/office/drawing/2010/main" xmlns:w="http://schemas.openxmlformats.org/wordprocessingml/2006/main" xmlns:a15="http://schemas.microsoft.com/office/drawing/2012/main" xmlns:a16="http://schemas.microsoft.com/office/drawing/2014/main" xmlns:cdr14="http://schemas.microsoft.com/office/drawing/2010/chartDrawing" xmlns:dsp="http://schemas.microsoft.com/office/drawing/2008/diagram" xmlns:w16cid="http://schemas.microsoft.com/office/word/2016/wordml/cid" xmlns:wp14="http://schemas.microsoft.com/office/word/2010/wordprocessingDrawing" xmlns:cs="http://schemas.microsoft.com/office/drawing/2012/chartStyle" xmlns:wp15="http://schemas.microsoft.com/office/word/2012/wordprocessingDrawing" xmlns:c173="http://schemas.microsoft.com/office/drawing/2017/03/chart" xmlns:oda="http://opendope.org/answers" xmlns:lc="http://schemas.openxmlformats.org/drawingml/2006/lockedCanvas" xmlns:odc="http://opendope.org/conditions" xmlns:cx="http://schemas.microsoft.com/office/drawing/2014/chartex" xmlns:xvml="urn:schemas-microsoft-com:office:excel" xmlns:odi="http://opendope.org/components" xmlns:comp="http://schemas.openxmlformats.org/drawingml/2006/compatibility" xmlns:wne="http://schemas.microsoft.com/office/word/2006/wordml" xmlns:cdr="http://schemas.openxmlformats.org/drawingml/2006/chartDrawing" xmlns:dgm="http://schemas.openxmlformats.org/drawingml/2006/diagram" xmlns:pic14="http://schemas.microsoft.com/office/drawing/2010/picture" xmlns:odq="http://opendope.org/questions" xmlns:cppr="http://schemas.microsoft.com/office/2006/coverPageProps" xmlns:xdr="http://schemas.openxmlformats.org/drawingml/2006/spreadsheetDrawing" xmlns:thm15="http://schemas.microsoft.com/office/thememl/2012/main" xmlns:odx="http://opendope.org/xpaths" xmlns:a1611="http://schemas.microsoft.com/office/drawing/2016/11/main" xmlns:mc="http://schemas.openxmlformats.org/markup-compatibility/2006" xmlns:w10="urn:schemas-microsoft-com:office:word" xmlns:w14="http://schemas.microsoft.com/office/word/2010/wordml" xmlns:a18hc="http://schemas.microsoft.com/office/drawing/2018/hyperlinkcolor" xmlns:w15="http://schemas.microsoft.com/office/word/2012/wordml" xmlns:an18="http://schemas.microsoft.com/office/drawing/2018/animation" xmlns:dgm14="http://schemas.microsoft.com/office/drawing/2010/diagram" xmlns:w16se="http://schemas.microsoft.com/office/word/2015/wordml/symex"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304</TotalTime>
  <ScaleCrop>false</ScaleCrop>
  <LinksUpToDate>false</LinksUpToDate>
  <CharactersWithSpaces>994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2020-06-24T23:50:00Z</dcterms:created>
  <dc:creator>yk</dc:creator>
  <cp:lastModifiedBy>初阳</cp:lastModifiedBy>
  <cp:lastPrinted>2016-03-08T00:24:00Z</cp:lastPrinted>
  <dcterms:modified xsi:type="dcterms:W3CDTF">2026-02-13T10:15:02Z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88409D4A57905ABF10878E695854EA8D_42</vt:lpwstr>
  </property>
</Properties>
</file>