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〕56</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号</w:t>
      </w:r>
    </w:p>
    <w:bookmarkEnd w:id="0"/>
    <w:p w14:paraId="063BD282">
      <w:pPr>
        <w:widowControl/>
        <w:suppressAutoHyphens/>
        <w:autoSpaceDE w:val="0"/>
        <w:autoSpaceDN w:val="0"/>
        <w:spacing w:line="500" w:lineRule="exact"/>
        <w:rPr>
          <w:rFonts w:hint="eastAsia" w:ascii="仿宋" w:hAnsi="仿宋" w:eastAsia="仿宋" w:cs="微软雅黑"/>
          <w:kern w:val="1"/>
          <w:szCs w:val="28"/>
        </w:rPr>
      </w:pPr>
      <w:r>
        <w:rPr>
          <w:rFonts w:hint="eastAsia" w:ascii="仿宋" w:hAnsi="仿宋" w:eastAsia="仿宋" w:cs="Mongolian Baiti"/>
          <w:kern w:val="1"/>
          <w:szCs w:val="28"/>
        </w:rPr>
        <w:t>当事人：武汉市江夏区祥瑞装运队</w:t>
      </w:r>
      <w:r>
        <w:rPr>
          <w:rFonts w:ascii="仿宋" w:hAnsi="仿宋" w:eastAsia="仿宋" w:cs="微软雅黑"/>
          <w:kern w:val="1"/>
          <w:szCs w:val="28"/>
        </w:rPr>
        <w:t xml:space="preserve"> </w:t>
      </w:r>
    </w:p>
    <w:p w14:paraId="40077781">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统一社会信用代码（注册号）：</w:t>
      </w:r>
      <w:r>
        <w:rPr>
          <w:rFonts w:ascii="仿宋" w:hAnsi="仿宋" w:eastAsia="仿宋" w:cs="Mongolian Baiti"/>
          <w:kern w:val="1"/>
          <w:szCs w:val="28"/>
        </w:rPr>
        <w:t xml:space="preserve">91420115755122727C </w:t>
      </w:r>
    </w:p>
    <w:p w14:paraId="79806521">
      <w:pPr>
        <w:widowControl/>
        <w:suppressAutoHyphens/>
        <w:autoSpaceDE w:val="0"/>
        <w:autoSpaceDN w:val="0"/>
        <w:spacing w:line="500" w:lineRule="exact"/>
        <w:rPr>
          <w:rFonts w:hint="eastAsia" w:ascii="仿宋" w:hAnsi="仿宋" w:eastAsia="仿宋" w:cs="Mongolian Baiti"/>
          <w:kern w:val="1"/>
          <w:szCs w:val="28"/>
        </w:rPr>
      </w:pPr>
      <w:r>
        <w:rPr>
          <w:rFonts w:hint="eastAsia" w:ascii="仿宋" w:hAnsi="仿宋" w:eastAsia="仿宋" w:cs="Mongolian Baiti"/>
          <w:kern w:val="1"/>
          <w:szCs w:val="28"/>
        </w:rPr>
        <w:t>住所（住址）：</w:t>
      </w:r>
      <w:r>
        <w:rPr>
          <w:rFonts w:ascii="仿宋" w:hAnsi="仿宋" w:eastAsia="仿宋" w:cs="Mongolian Baiti"/>
          <w:kern w:val="1"/>
          <w:szCs w:val="28"/>
        </w:rPr>
        <w:t>武汉市江夏经济开发区梅南山居3-3</w:t>
      </w:r>
    </w:p>
    <w:p w14:paraId="4DB497F3">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法定代表人（负责人、经营者）：</w:t>
      </w:r>
      <w:r>
        <w:rPr>
          <w:rFonts w:ascii="仿宋" w:hAnsi="仿宋" w:eastAsia="仿宋" w:cs="Mongolian Baiti"/>
          <w:kern w:val="1"/>
          <w:szCs w:val="28"/>
        </w:rPr>
        <w:t>杨国祥</w:t>
      </w:r>
    </w:p>
    <w:p w14:paraId="243633F3">
      <w:pPr>
        <w:widowControl/>
        <w:suppressAutoHyphens/>
        <w:autoSpaceDE w:val="0"/>
        <w:autoSpaceDN w:val="0"/>
        <w:spacing w:line="500" w:lineRule="exact"/>
        <w:textAlignment w:val="center"/>
        <w:rPr>
          <w:rFonts w:hint="eastAsia" w:ascii="仿宋" w:hAnsi="仿宋" w:eastAsia="仿宋" w:cs="Mongolian Baiti"/>
          <w:kern w:val="1"/>
          <w:szCs w:val="28"/>
          <w:u w:val="single"/>
        </w:rPr>
      </w:pPr>
      <w:r>
        <w:rPr>
          <w:rFonts w:ascii="仿宋" w:hAnsi="仿宋" w:eastAsia="仿宋" w:cs="仿宋_GB2312"/>
          <w:color w:val="000000"/>
          <w:szCs w:val="28"/>
        </w:rPr>
        <w:t xml:space="preserve"> </w:t>
      </w:r>
    </w:p>
    <w:p w14:paraId="49B34B8B">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20日对当事人登记住所进行了检查，查找不到该企业，通过当事人预留的电话号码也无法取得联系，2025年11月21日，本局予以立案，案件现已调查终结。</w:t>
      </w:r>
    </w:p>
    <w:p w14:paraId="42AF4AD3">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经查，当事人于2003年11月11日登记成立，2015年-2025年连续11年未申报年报被列异名录，2019年9月3日因列入经营异常名录届满3年仍未履行公示义务被列入严重违法企业名单，2025年11月20日，本局执法人员再次对当事人住所进行检查，发现武汉东湖高新开发区庙山小区内没有该企业。多次拨打注册登记时当事人留下的电话13871127955无人接听，无法联系到当事人。2025年9月3日，江夏区税务局出具《连续两年以上未年报企业名单》中，显示当事人未进行税务登记的事实。</w:t>
      </w:r>
    </w:p>
    <w:p w14:paraId="28684E5E">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上述事实，主要有以下证据证明：</w:t>
      </w:r>
    </w:p>
    <w:p w14:paraId="3DA9D9BE">
      <w:pPr>
        <w:widowControl/>
        <w:suppressAutoHyphens/>
        <w:overflowPunct w:val="0"/>
        <w:spacing w:line="500" w:lineRule="exact"/>
        <w:rPr>
          <w:rFonts w:hint="eastAsia" w:ascii="仿宋" w:hAnsi="仿宋" w:eastAsia="仿宋" w:cs="仿宋"/>
          <w:color w:val="000000"/>
          <w:szCs w:val="28"/>
        </w:rPr>
      </w:pPr>
      <w:r>
        <w:rPr>
          <w:rFonts w:hint="eastAsia" w:ascii="仿宋" w:hAnsi="仿宋" w:eastAsia="仿宋" w:cs="仿宋"/>
          <w:color w:val="000000"/>
          <w:szCs w:val="28"/>
        </w:rPr>
        <w:t>1.《武汉市市场监督管理局、国家税务总局武汉市税务局关于进一步明确长期停业未经营市场主体清理工作相关要求的通知》（武市监〔2022〕75 号）文件1份，证明案件来源依据。</w:t>
      </w:r>
      <w:r>
        <w:rPr>
          <w:rFonts w:hint="eastAsia" w:ascii="仿宋" w:hAnsi="仿宋" w:eastAsia="仿宋" w:cs="仿宋"/>
          <w:color w:val="000000"/>
          <w:szCs w:val="28"/>
        </w:rPr>
        <w:br w:type="textWrapping"/>
      </w:r>
      <w:r>
        <w:rPr>
          <w:rFonts w:hint="eastAsia" w:ascii="仿宋" w:hAnsi="仿宋" w:eastAsia="仿宋" w:cs="仿宋"/>
          <w:color w:val="000000"/>
          <w:szCs w:val="28"/>
        </w:rPr>
        <w:t> 2.《现场笔录》1份及现场核查照片2张，证明本局执法人员对当事人登记住所现场进行核查，未发现有开展经营活动的事实；</w:t>
      </w:r>
      <w:r>
        <w:rPr>
          <w:rFonts w:hint="eastAsia" w:ascii="仿宋" w:hAnsi="仿宋" w:eastAsia="仿宋" w:cs="仿宋"/>
          <w:color w:val="000000"/>
          <w:szCs w:val="28"/>
        </w:rPr>
        <w:br w:type="textWrapping"/>
      </w:r>
      <w:r>
        <w:rPr>
          <w:rFonts w:hint="eastAsia" w:ascii="仿宋" w:hAnsi="仿宋" w:eastAsia="仿宋" w:cs="仿宋"/>
          <w:color w:val="000000"/>
          <w:szCs w:val="28"/>
        </w:rPr>
        <w:t>3.爱企查截图1张及电话记录截图1张，证明当事人电话以及无法取得联系的事实；</w:t>
      </w:r>
      <w:r>
        <w:rPr>
          <w:rFonts w:hint="eastAsia" w:ascii="仿宋" w:hAnsi="仿宋" w:eastAsia="仿宋" w:cs="仿宋"/>
          <w:color w:val="000000"/>
          <w:szCs w:val="28"/>
        </w:rPr>
        <w:br w:type="textWrapping"/>
      </w:r>
      <w:r>
        <w:rPr>
          <w:rFonts w:hint="eastAsia" w:ascii="仿宋" w:hAnsi="仿宋" w:eastAsia="仿宋" w:cs="仿宋"/>
          <w:color w:val="000000"/>
          <w:szCs w:val="28"/>
        </w:rPr>
        <w:t> 4.武汉市一体化智慧市场监管平台截图打印件2张，证明当事人主体信息及其连续两年以上未申报年报的事实；</w:t>
      </w:r>
      <w:r>
        <w:rPr>
          <w:rFonts w:hint="eastAsia" w:ascii="仿宋" w:hAnsi="仿宋" w:eastAsia="仿宋" w:cs="仿宋"/>
          <w:color w:val="000000"/>
          <w:szCs w:val="28"/>
        </w:rPr>
        <w:br w:type="textWrapping"/>
      </w:r>
      <w:r>
        <w:rPr>
          <w:rFonts w:hint="eastAsia" w:ascii="仿宋" w:hAnsi="仿宋" w:eastAsia="仿宋" w:cs="仿宋"/>
          <w:color w:val="000000"/>
          <w:szCs w:val="28"/>
        </w:rPr>
        <w:t> 5.国家税务总局武汉市江夏区税务局提供的《连续两年以上未年报企业名单》1份，证明当事人未进行税务登记的事实。本局于 2026年1月8日依法向当事人公告送达了武汉市江夏区市场监督管理局《行政处罚告知书》（夏市监罚告〔2026〕1号），告知当事人我局拟作出行政处罚的事实、理由、依据及处罚内容，当事人在法定期限内未提出陈述申辩。</w:t>
      </w:r>
    </w:p>
    <w:p w14:paraId="571D1EB4">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《企业信息公示暂行条例》第八条第一款规定“企业应当于每年1月1日至6月30日，通过</w:t>
      </w:r>
      <w:r>
        <w:rPr>
          <w:rFonts w:hint="eastAsia" w:ascii="仿宋" w:hAnsi="仿宋" w:eastAsia="仿宋" w:cs="仿宋"/>
          <w:color w:val="000000"/>
          <w:szCs w:val="28"/>
          <w:lang w:eastAsia="zh-CN"/>
        </w:rPr>
        <w:t>国家企业信用信息公示系统</w:t>
      </w:r>
      <w:r>
        <w:rPr>
          <w:rFonts w:hint="eastAsia" w:ascii="仿宋" w:hAnsi="仿宋" w:eastAsia="仿宋" w:cs="仿宋"/>
          <w:color w:val="000000"/>
          <w:szCs w:val="28"/>
        </w:rPr>
        <w:t>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应当吊销当事人营业执照。</w:t>
      </w:r>
    </w:p>
    <w:p w14:paraId="589AD4C0">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Cs w:val="28"/>
          <w:lang w:eastAsia="zh-CN"/>
        </w:rPr>
        <w:t>主观</w:t>
      </w:r>
      <w:r>
        <w:rPr>
          <w:rFonts w:hint="eastAsia" w:ascii="仿宋" w:hAnsi="仿宋" w:eastAsia="仿宋" w:cs="仿宋"/>
          <w:color w:val="000000"/>
          <w:szCs w:val="28"/>
        </w:rPr>
        <w:t>过错以及公平公正要求</w:t>
      </w:r>
      <w:r>
        <w:rPr>
          <w:rFonts w:hint="eastAsia" w:ascii="仿宋" w:hAnsi="仿宋" w:eastAsia="仿宋" w:cs="仿宋"/>
          <w:color w:val="000000"/>
          <w:szCs w:val="28"/>
          <w:lang w:eastAsia="zh-CN"/>
        </w:rPr>
        <w:t>等方面</w:t>
      </w:r>
      <w:r>
        <w:rPr>
          <w:rFonts w:hint="eastAsia" w:ascii="仿宋" w:hAnsi="仿宋" w:eastAsia="仿宋" w:cs="仿宋"/>
          <w:color w:val="000000"/>
          <w:szCs w:val="28"/>
        </w:rPr>
        <w:t>，当事人上述违法行为无减轻或者从轻处罚的情形。</w:t>
      </w:r>
    </w:p>
    <w:p w14:paraId="6F91E26B">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综上，当事人上述行为违反了《企业信息公示暂行条例》第八条第一款的规定，依据</w:t>
      </w:r>
      <w:r>
        <w:rPr>
          <w:rFonts w:hint="eastAsia" w:ascii="仿宋" w:hAnsi="仿宋" w:eastAsia="仿宋" w:cs="仿宋"/>
          <w:color w:val="000000"/>
          <w:szCs w:val="28"/>
          <w:lang w:eastAsia="zh-CN"/>
        </w:rPr>
        <w:t>《企业</w:t>
      </w:r>
      <w:r>
        <w:rPr>
          <w:rFonts w:hint="eastAsia" w:ascii="仿宋" w:hAnsi="仿宋" w:eastAsia="仿宋" w:cs="仿宋"/>
          <w:color w:val="000000"/>
          <w:szCs w:val="28"/>
        </w:rPr>
        <w:t>信息公示暂行条例》第十八条第一款之规定，决定对当事人作出如下行政处罚：吊销营业执照。</w:t>
      </w:r>
    </w:p>
    <w:p w14:paraId="3BBAB0C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如不服本行政处罚决定，可以在收到本行政处罚决定书之日起六十日内向武汉市江夏区人民政府申请行政复议，也可以在六个月内依法向武汉市江夏区人民法院提起行政诉讼。</w:t>
      </w:r>
    </w:p>
    <w:p w14:paraId="286A45D1">
      <w:pPr>
        <w:widowControl/>
        <w:suppressAutoHyphens/>
        <w:snapToGrid w:val="0"/>
        <w:spacing w:line="500" w:lineRule="exact"/>
        <w:ind w:right="1280"/>
        <w:rPr>
          <w:rFonts w:hint="eastAsia" w:ascii="仿宋" w:hAnsi="仿宋" w:eastAsia="仿宋" w:cs="仿宋"/>
          <w:color w:val="000000"/>
          <w:szCs w:val="28"/>
        </w:rPr>
      </w:pPr>
    </w:p>
    <w:p w14:paraId="11F5547D">
      <w:pPr>
        <w:widowControl/>
        <w:suppressAutoHyphens/>
        <w:snapToGrid w:val="0"/>
        <w:spacing w:line="500" w:lineRule="exact"/>
        <w:ind w:right="1280"/>
        <w:rPr>
          <w:rFonts w:hint="eastAsia" w:ascii="仿宋" w:hAnsi="仿宋" w:eastAsia="仿宋" w:cs="仿宋"/>
          <w:color w:val="000000"/>
          <w:szCs w:val="28"/>
        </w:rPr>
      </w:pPr>
      <w:bookmarkStart w:id="1" w:name="_GoBack"/>
      <w:bookmarkEnd w:id="1"/>
    </w:p>
    <w:p w14:paraId="2C1DC9C3">
      <w:pPr>
        <w:widowControl/>
        <w:suppressAutoHyphens/>
        <w:snapToGrid w:val="0"/>
        <w:spacing w:line="500" w:lineRule="exact"/>
        <w:ind w:firstLine="1400" w:firstLineChars="500"/>
        <w:jc w:val="right"/>
        <w:rPr>
          <w:rFonts w:hint="eastAsia" w:ascii="仿宋" w:hAnsi="仿宋" w:eastAsia="仿宋" w:cs="仿宋"/>
          <w:color w:val="000000"/>
          <w:szCs w:val="28"/>
        </w:rPr>
      </w:pPr>
      <w:r>
        <w:rPr>
          <w:rFonts w:ascii="仿宋" w:hAnsi="仿宋" w:eastAsia="仿宋" w:cs="仿宋"/>
          <w:color w:val="000000"/>
          <w:szCs w:val="28"/>
        </w:rPr>
        <w:t>武汉市江夏区市场监督管理局</w:t>
      </w:r>
    </w:p>
    <w:p w14:paraId="6A619EC4">
      <w:pPr>
        <w:widowControl/>
        <w:suppressAutoHyphens/>
        <w:snapToGrid w:val="0"/>
        <w:spacing w:line="500" w:lineRule="exact"/>
        <w:ind w:firstLine="640"/>
        <w:jc w:val="right"/>
        <w:rPr>
          <w:rFonts w:hint="eastAsia" w:ascii="仿宋" w:hAnsi="仿宋" w:eastAsia="仿宋" w:cs="仿宋"/>
          <w:color w:val="000000"/>
          <w:szCs w:val="28"/>
        </w:rPr>
      </w:pPr>
      <w:r>
        <w:rPr>
          <w:rFonts w:hint="eastAsia" w:ascii="仿宋" w:hAnsi="仿宋" w:eastAsia="仿宋" w:cs="仿宋"/>
          <w:color w:val="000000"/>
          <w:szCs w:val="28"/>
        </w:rPr>
        <w:t>2026年</w:t>
      </w:r>
      <w:r>
        <w:rPr>
          <w:rFonts w:ascii="仿宋" w:hAnsi="仿宋" w:eastAsia="仿宋" w:cs="仿宋"/>
          <w:color w:val="000000"/>
          <w:szCs w:val="28"/>
        </w:rPr>
        <w:t>2</w:t>
      </w:r>
      <w:r>
        <w:rPr>
          <w:rFonts w:hint="eastAsia" w:ascii="仿宋" w:hAnsi="仿宋" w:eastAsia="仿宋" w:cs="仿宋"/>
          <w:color w:val="000000"/>
          <w:szCs w:val="28"/>
        </w:rPr>
        <w:t>月</w:t>
      </w:r>
      <w:r>
        <w:rPr>
          <w:rFonts w:ascii="仿宋" w:hAnsi="仿宋" w:eastAsia="仿宋" w:cs="仿宋"/>
          <w:color w:val="000000"/>
          <w:szCs w:val="28"/>
        </w:rPr>
        <w:t>28</w:t>
      </w:r>
      <w:r>
        <w:rPr>
          <w:rFonts w:hint="eastAsia" w:ascii="仿宋" w:hAnsi="仿宋" w:eastAsia="仿宋" w:cs="仿宋"/>
          <w:color w:val="000000"/>
          <w:szCs w:val="28"/>
        </w:rPr>
        <w:t>日</w:t>
      </w:r>
    </w:p>
    <w:p w14:paraId="23FEE2DA">
      <w:pPr>
        <w:widowControl/>
        <w:suppressAutoHyphens/>
        <w:snapToGrid w:val="0"/>
        <w:spacing w:line="500" w:lineRule="exact"/>
        <w:ind w:firstLine="640"/>
        <w:rPr>
          <w:rFonts w:hint="eastAsia" w:ascii="仿宋" w:hAnsi="仿宋" w:eastAsia="仿宋" w:cs="仿宋"/>
          <w:color w:val="000000"/>
          <w:szCs w:val="28"/>
        </w:rPr>
      </w:pPr>
    </w:p>
    <w:p w14:paraId="530AB73B">
      <w:pPr>
        <w:widowControl/>
        <w:suppressAutoHyphens/>
        <w:snapToGrid w:val="0"/>
        <w:spacing w:line="520" w:lineRule="exact"/>
        <w:rPr>
          <w:rFonts w:hint="eastAsia" w:ascii="仿宋" w:hAnsi="仿宋" w:eastAsia="仿宋" w:cs="仿宋"/>
          <w:b/>
          <w:bCs/>
          <w:color w:val="000000"/>
          <w:szCs w:val="28"/>
        </w:rPr>
      </w:pPr>
    </w:p>
    <w:p w14:paraId="456F5165">
      <w:pPr>
        <w:widowControl/>
        <w:suppressAutoHyphens/>
        <w:snapToGrid w:val="0"/>
        <w:spacing w:line="520" w:lineRule="exact"/>
        <w:rPr>
          <w:rFonts w:hint="eastAsia" w:ascii="仿宋" w:hAnsi="仿宋" w:eastAsia="仿宋" w:cs="仿宋"/>
          <w:b/>
          <w:bCs/>
          <w:color w:val="000000"/>
          <w:szCs w:val="28"/>
        </w:rPr>
      </w:pPr>
    </w:p>
    <w:p w14:paraId="4B943719">
      <w:pPr>
        <w:widowControl/>
        <w:suppressAutoHyphens/>
        <w:snapToGrid w:val="0"/>
        <w:spacing w:line="520" w:lineRule="exact"/>
        <w:rPr>
          <w:rFonts w:hint="eastAsia" w:ascii="仿宋" w:hAnsi="仿宋" w:eastAsia="仿宋" w:cs="仿宋"/>
          <w:b/>
          <w:bCs/>
          <w:color w:val="000000"/>
          <w:szCs w:val="28"/>
        </w:rPr>
      </w:pPr>
    </w:p>
    <w:p w14:paraId="677AA1B5">
      <w:pPr>
        <w:widowControl/>
        <w:suppressAutoHyphens/>
        <w:snapToGrid w:val="0"/>
        <w:spacing w:line="520" w:lineRule="exact"/>
        <w:rPr>
          <w:rFonts w:hint="eastAsia" w:ascii="仿宋" w:hAnsi="仿宋" w:eastAsia="仿宋" w:cs="仿宋"/>
          <w:b/>
          <w:bCs/>
          <w:color w:val="000000"/>
          <w:szCs w:val="28"/>
        </w:rPr>
      </w:pPr>
    </w:p>
    <w:p w14:paraId="55BE18B4">
      <w:pPr>
        <w:widowControl/>
        <w:suppressAutoHyphens/>
        <w:snapToGrid w:val="0"/>
        <w:spacing w:line="520" w:lineRule="exact"/>
        <w:rPr>
          <w:rFonts w:hint="eastAsia" w:ascii="仿宋" w:hAnsi="仿宋" w:eastAsia="仿宋" w:cs="仿宋"/>
          <w:b/>
          <w:bCs/>
          <w:color w:val="000000"/>
          <w:szCs w:val="28"/>
        </w:rPr>
      </w:pPr>
    </w:p>
    <w:p w14:paraId="5A15EF86">
      <w:pPr>
        <w:widowControl/>
        <w:suppressAutoHyphens/>
        <w:snapToGrid w:val="0"/>
        <w:spacing w:line="520" w:lineRule="exact"/>
        <w:rPr>
          <w:rFonts w:hint="eastAsia" w:ascii="仿宋" w:hAnsi="仿宋" w:eastAsia="仿宋" w:cs="仿宋"/>
          <w:b/>
          <w:bCs/>
          <w:color w:val="000000"/>
          <w:szCs w:val="28"/>
        </w:rPr>
      </w:pPr>
    </w:p>
    <w:p w14:paraId="63657DC5">
      <w:pPr>
        <w:widowControl/>
        <w:suppressAutoHyphens/>
        <w:snapToGrid w:val="0"/>
        <w:spacing w:line="520" w:lineRule="exact"/>
        <w:rPr>
          <w:rFonts w:hint="eastAsia" w:ascii="仿宋" w:hAnsi="仿宋" w:eastAsia="仿宋" w:cs="仿宋"/>
          <w:b/>
          <w:bCs/>
          <w:color w:val="000000"/>
          <w:szCs w:val="28"/>
        </w:rPr>
      </w:pPr>
    </w:p>
    <w:p w14:paraId="0568C09F">
      <w:pPr>
        <w:widowControl/>
        <w:suppressAutoHyphens/>
        <w:snapToGrid w:val="0"/>
        <w:spacing w:line="520" w:lineRule="exact"/>
        <w:rPr>
          <w:rFonts w:hint="eastAsia" w:ascii="仿宋" w:hAnsi="仿宋" w:eastAsia="仿宋" w:cs="仿宋"/>
          <w:b/>
          <w:bCs/>
          <w:color w:val="000000"/>
          <w:szCs w:val="28"/>
        </w:rPr>
      </w:pP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（市场监管部门将依法向社会公开本行政处罚决定信息）</w:t>
      </w:r>
    </w:p>
    <w:sectPr>
      <w:headerReference r:id="rId4" w:type="first"/>
      <w:footerReference r:id="rId6" w:type="first"/>
      <w:headerReference r:id="rId3" w:type="default"/>
      <w:footerReference r:id="rId5" w:type="default"/>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庞门正道真贵楷体"/>
    <w:panose1 w:val="03000500000000000000"/>
    <w:charset w:val="00"/>
    <w:family w:val="script"/>
    <w:pitch w:val="default"/>
    <w:sig w:usb0="00000000" w:usb1="00000000" w:usb2="00020000" w:usb3="00000000" w:csb0="00000001" w:csb1="00000000"/>
  </w:font>
  <w:font w:name="庞门正道真贵楷体">
    <w:panose1 w:val="02010600030101010101"/>
    <w:charset w:val="86"/>
    <w:family w:val="auto"/>
    <w:pitch w:val="default"/>
    <w:sig w:usb0="00000003" w:usb1="080E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39670754"/>
    <w:rsid w:val="FDE75C6D"/>
    <w:rsid w:val="FFDE92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v="urn:schemas-microsoft-com:vml" xmlns:iact="http://schemas.microsoft.com/office/powerpoint/2014/inkAction" xmlns:w="http://schemas.openxmlformats.org/wordprocessingml/2006/main" xmlns:a14="http://schemas.microsoft.com/office/drawing/2010/main" xmlns:a15="http://schemas.microsoft.com/office/drawing/2012/main" xmlns:a16="http://schemas.microsoft.com/office/drawing/2014/main" xmlns:adec="http://schemas.microsoft.com/office/drawing/2017/decorative" xmlns:wetp="http://schemas.microsoft.com/office/webextensions/taskpanes/2010/11" xmlns:dsp="http://schemas.microsoft.com/office/drawing/2008/diagram" xmlns:oda="http://opendope.org/answers" xmlns:msink="http://schemas.microsoft.com/ink/2010/main" xmlns:odc="http://opendope.org/conditions" xmlns:a16svg="http://schemas.microsoft.com/office/drawing/2016/SVG/main" xmlns:dgm1611="http://schemas.microsoft.com/office/drawing/2016/11/diagram" xmlns:dgm1612="http://schemas.microsoft.com/office/drawing/2016/12/diagram" xmlns:odi="http://opendope.org/components" xmlns:wne="http://schemas.microsoft.com/office/word/2006/wordml" xmlns:pvml="urn:schemas-microsoft-com:office:powerpoint" xmlns:am3d="http://schemas.microsoft.com/office/drawing/2017/model3d" xmlns:cdr="http://schemas.openxmlformats.org/drawingml/2006/chartDrawing" xmlns:dgm="http://schemas.openxmlformats.org/drawingml/2006/diagram" xmlns:odq="http://opendope.org/questions" xmlns:ns38="http://www.w3.org/1998/Math/MathML" xmlns:ns39="http://www.w3.org/2003/InkML" xmlns:xdr="http://schemas.openxmlformats.org/drawingml/2006/spreadsheetDrawing" xmlns:odx="http://opendope.org/xpaths" xmlns:cdr14="http://schemas.microsoft.com/office/drawing/2010/chartDrawing" xmlns:we="http://schemas.microsoft.com/office/webextensions/webextension/2010/11" xmlns:odgm="http://opendope.org/SmartArt/DataHierarchy" xmlns:w10="urn:schemas-microsoft-com:office:word" xmlns:a13cmd="http://schemas.microsoft.com/office/drawing/2013/main/command" xmlns:w14="http://schemas.microsoft.com/office/word/2010/wordml" xmlns:w15="http://schemas.microsoft.com/office/word/2012/wordml" xmlns:wp="http://schemas.openxmlformats.org/drawingml/2006/wordprocessingDrawing" xmlns:sl="http://schemas.openxmlformats.org/schemaLibrary/2006/main" xmlns:wp14="http://schemas.microsoft.com/office/word/2010/wordprocessingDrawing" xmlns:c173="http://schemas.microsoft.com/office/drawing/2017/03/chart" xmlns:wp15="http://schemas.microsoft.com/office/word/2012/wordprocessingDrawing" xmlns:pic14="http://schemas.microsoft.com/office/drawing/2010/picture" xmlns:anam3d="http://schemas.microsoft.com/office/drawing/2018/animation/model3d" xmlns:xvml="urn:schemas-microsoft-com:office:excel" xmlns:comp="http://schemas.openxmlformats.org/drawingml/2006/compatibility" xmlns:thm15="http://schemas.microsoft.com/office/thememl/2012/main" xmlns:a1611="http://schemas.microsoft.com/office/drawing/2016/11/main" xmlns:cppr="http://schemas.microsoft.com/office/2006/coverPageProps" xmlns:a18hc="http://schemas.microsoft.com/office/drawing/2018/hyperlinkcolor" xmlns:pic="http://schemas.openxmlformats.org/drawingml/2006/picture" xmlns:dgm14="http://schemas.microsoft.com/office/drawing/2010/diagram" xmlns:wpc="http://schemas.microsoft.com/office/word/2010/wordprocessingCanvas" xmlns:c14="http://schemas.microsoft.com/office/drawing/2007/8/2/chart" xmlns:c15="http://schemas.microsoft.com/office/drawing/2012/chart" xmlns:c16="http://schemas.microsoft.com/office/drawing/2014/chart" xmlns:wpg="http://schemas.microsoft.com/office/word/2010/wordprocessingGroup" xmlns:w16cid="http://schemas.microsoft.com/office/word/2016/wordml/cid" xmlns:cs="http://schemas.microsoft.com/office/drawing/2012/chartStyle" xmlns:lc="http://schemas.openxmlformats.org/drawingml/2006/lockedCanvas" xmlns:w16se="http://schemas.microsoft.com/office/word/2015/wordml/symex" xmlns:cx="http://schemas.microsoft.com/office/drawing/2014/chartex" xmlns:an18="http://schemas.microsoft.com/office/drawing/2018/animation" xmlns:wps="http://schemas.microsoft.com/office/word/2010/wordprocessingShape" xmlns:a="http://schemas.openxmlformats.org/drawingml/2006/main" xmlns:c="http://schemas.openxmlformats.org/drawingml/2006/chart" xmlns:c16ac="http://schemas.microsoft.com/office/drawing/2014/chart/ac" xmlns:m="http://schemas.openxmlformats.org/officeDocument/2006/math" xmlns:o="urn:schemas-microsoft-com:office:office" xmlns:r="http://schemas.openxmlformats.org/officeDocument/2006/relationships" xmlns:mc="http://schemas.openxmlformats.org/markup-compatibility/2006"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1673</Words>
  <Characters>1773</Characters>
  <Lines>7</Lines>
  <Paragraphs>1</Paragraphs>
  <TotalTime>303</TotalTime>
  <ScaleCrop>false</ScaleCrop>
  <LinksUpToDate>false</LinksUpToDate>
  <CharactersWithSpaces>1798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2020-06-24T15:50:00Z</dcterms:created>
  <dc:creator>yk</dc:creator>
  <cp:lastModifiedBy>进</cp:lastModifiedBy>
  <cp:lastPrinted>2016-03-07T16:24:00Z</cp:lastPrinted>
  <dcterms:modified xsi:type="dcterms:W3CDTF">2026-03-02T16:31:58Z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eyJoZGlkIjoiNGQwMGJlNThmZDU4ZDk0YjRkM2Q4YTM2MWUzZTAwM2EiLCJ1c2VySWQiOiIxNDE2MzU2NzI0In0=</vt:lpwstr>
  </property>
  <property fmtid="{D5CDD505-2E9C-101B-9397-08002B2CF9AE}" pid="3" name="KSOProductBuildVer">
    <vt:lpwstr>2052-12.1.2.24722</vt:lpwstr>
  </property>
  <property fmtid="{D5CDD505-2E9C-101B-9397-08002B2CF9AE}" pid="4" name="ICV">
    <vt:lpwstr>858B0F8D64754C0082F3EBDE73F254D3_13</vt:lpwstr>
  </property>
</Properties>
</file>