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2026年江夏区</w:t>
      </w:r>
      <w:bookmarkStart w:id="0" w:name="OLE_LINK1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科学施肥增效</w:t>
      </w:r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工作方案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根据《省农业农村厅办公室关于印发湖北省 2026 年科学施肥增效工作方案的通知》（鄂农办发〔2026〕25 号）文件精神，为扎实推进我区2026年科学施肥增效工作，切实完成中央转移支付资金项目绩效目标任务，助力粮油作物大面积单产提升，保障国家粮食安全和重要农产品稳定供给。特制定本方案。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一、工作思路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聚焦新一轮千亿斤粮食产能提升行动，以服务支撑粮油等主要作物大面积单产提升行动为重点，落实《农业农村部关于开展“精准肥水增粮增效”行动深入推进肥水高效利用工作的指导意见》（农农发〔2026〕6 号）部署，以“优结构、提效率、促增产”为主线，强化政策支持和科技支撑。依托农技推广体系、新型经营主体和社会化服务组织，大力推广测土配方施肥技术，持续开展肥效田间试验、农户施肥情况调查等基础工作，集成推广施肥新产品、新技术、新机具“三新”模式。强化科学施肥服务模式创新，促进施肥精准化、智能化、绿色化、专业化，为稳粮保供和农业绿色发展提供有力支撑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二、工作目标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全面完成科学施肥增效各项任务指标，持续提升科学施肥整体水平，推动全区化肥施用结构持续优化、利用效率稳步提升，测土配方施肥技术覆盖率稳定在较高水平。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（一）完成测土配方施肥基础性工作。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完成田间试验8个、农户施肥情况调查150户。抓实田间试验、农户施肥调查等基础性工作，按农时季节发布科学施肥指导意见，确保 2026年测土配方施肥技术覆盖率稳定在 90%以上。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（二）广泛推广有机生物施肥技术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。大力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推广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粪肥、秸秆、绿肥等有机肥资源还田，有效替代部分化肥，提升土壤肥力，实现节本增效、生态提质。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三、重点任务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（一）深入推进测土配方施肥工作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。针对当前部分作物仍存在化肥不合理施用现象，需要进一步深化测土配方施肥技术推广，切实提高科学施肥水平。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1.规范开展田间试验。结合粮食单产提升行动，统筹耕地地力、种植制度、作物类型，布设完成8个田间试验。围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绕施肥新技术、新产品、新机具，开展新型肥料、施肥效应、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配方校正等田间试验，系统积累科学施肥数据，持续优化区域、作物专属施肥技术方案。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.开展农户施肥调查。综合考虑作物类型、种植制度、施肥主体等因素，进一步优化调查点位设置，调查农户施肥现状，建立农户施肥台账，探索推行氮肥定额制、台账制管理。通过农户施肥情况调查，分析本行政区域内施肥水平、施肥结构、施肥方式等，查找施肥不合理问题及原因，提出解决措施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年底，完成农户施肥情况调查农户150户，农户施肥调查数据通过“肥情监测通”系统（二维码见附件1）上报。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.制定发布施肥方案。组织专家深挖测土配方施肥大数据，结合取土化验、田间试验等结果，进一步优化不同区域不同作物肥料配方和施肥技术方案，按照农时季节发布科学施肥指导意见，制定区域肥料配方和施肥方案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.构建配方肥供应网络。以街道为单位，在主要农业街道筛选诚信经营、服务规范的肥料经销网点，培育基层配方肥经销服务网络。在配方肥经销网点醒目位置张贴科学施肥指导意见，发放施肥建议卡，方便农户按方选肥购肥。鼓励大中型肥料企业建立乡村直销网点，开展配方肥连锁配送服务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（二）强化“三新”技术推广。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推广侧深施肥、种肥同播、水肥一体化、无人机施肥等机械深施肥技术模式，结合应用缓控释肥，推进施肥用量精准化、施肥过程轻简化，实提高化肥利用率。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（三）推广有机肥替代化肥技术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。针对我区畜禽粪肥、秸秆、绿肥等有机肥源丰富现状，大力推广畜禽粪肥就近还田、秸秆肥料化还田、绿肥翻压还田，利用有机养分替代化肥养分。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四、资金使用计划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项目资金22万元，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主要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用于科学施肥增效田间试验、农户施肥调查等测土配方施肥基础性工作，其中田间试验16万元，农户施肥调查6万元。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五、保障措施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（一）强化组织保障。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成立2026年江夏区科学施肥增效工作专班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（附件4）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和技术指导组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（附件5）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。工作专班负责统筹协调，整体推进，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的日常管理，包括编制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实施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方案、宣传引导、技术培训等工作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专家技术指导组负责做好生产全过程全环节指导，切实帮助解决生产中的实际困难和问题。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（二）强化技术服务。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积极对接省级专家开展科学施肥技术指导服务；通过开展田间课堂、基层农技人员知识更新、新型经营主体培训工程、现场观摩、送科技下乡等方式，对肥料经销商、乡镇农业技术推广人员、种植大户以及农民进行化肥减量增效技术培训，提高科学施肥水平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（三）强化调度考核。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严格落实调度制度，及时、准确报送项目执行进度和实施成效，及时在农业农村部转移支付管理平台中填报项目资金使用进度情况。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（四）强化宣传总结。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要深入开展科学认识和施用化肥宣传活动，通过广播、电视、报刊等主流媒体，结合“长江云”、学习强国平台、短（微）视频等新媒体手段，营造良好社会氛围。持续开展科学施肥培训行动，加强推广、科研、教学、协会、企业等力量联动互动，通过试验示范、现场观摩、室内教学等形式开展宣传培训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ind w:firstLine="4480" w:firstLineChars="14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江夏区农业技术推广中心</w:t>
      </w:r>
    </w:p>
    <w:p>
      <w:pPr>
        <w:ind w:firstLine="5120" w:firstLineChars="16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2026年7月 23</w:t>
      </w:r>
      <w:bookmarkStart w:id="3" w:name="_GoBack"/>
      <w:bookmarkEnd w:id="3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日</w:t>
      </w:r>
    </w:p>
    <w:p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附件：1.肥情监测通二维码</w:t>
      </w:r>
    </w:p>
    <w:p>
      <w:pPr>
        <w:ind w:firstLine="960" w:firstLineChars="3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2.江夏区测土配方施肥专家咨询系统二维码</w:t>
      </w:r>
    </w:p>
    <w:p>
      <w:pPr>
        <w:ind w:firstLine="960" w:firstLineChars="3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3.资金安排表</w:t>
      </w:r>
    </w:p>
    <w:p>
      <w:pPr>
        <w:ind w:firstLine="960" w:firstLineChars="3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4.工作专班名单</w:t>
      </w:r>
    </w:p>
    <w:p>
      <w:pPr>
        <w:ind w:firstLine="960" w:firstLineChars="3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5.技术指导组名单</w:t>
      </w:r>
    </w:p>
    <w:p>
      <w:pPr>
        <w:rPr>
          <w:rFonts w:hint="default" w:asciiTheme="minorEastAsia" w:hAnsiTheme="minorEastAsia" w:cstheme="minorEastAsia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overflowPunct w:val="0"/>
        <w:spacing w:before="101" w:line="23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件</w:t>
      </w:r>
      <w:r>
        <w:rPr>
          <w:rFonts w:hint="eastAsia" w:ascii="宋体" w:hAnsi="宋体" w:eastAsia="宋体" w:cs="宋体"/>
          <w:sz w:val="32"/>
          <w:szCs w:val="32"/>
        </w:rPr>
        <w:t>1</w:t>
      </w:r>
    </w:p>
    <w:p>
      <w:pPr>
        <w:widowControl/>
        <w:overflowPunct w:val="0"/>
        <w:spacing w:line="249" w:lineRule="auto"/>
        <w:rPr>
          <w:rFonts w:hint="eastAsia" w:ascii="宋体" w:hAnsi="宋体" w:eastAsia="宋体" w:cs="宋体"/>
          <w:sz w:val="32"/>
          <w:szCs w:val="32"/>
        </w:rPr>
      </w:pPr>
    </w:p>
    <w:p>
      <w:pPr>
        <w:widowControl/>
        <w:overflowPunct w:val="0"/>
        <w:spacing w:line="250" w:lineRule="auto"/>
        <w:rPr>
          <w:rFonts w:hint="eastAsia" w:ascii="宋体" w:hAnsi="宋体" w:eastAsia="宋体" w:cs="宋体"/>
          <w:sz w:val="32"/>
          <w:szCs w:val="32"/>
        </w:rPr>
      </w:pPr>
    </w:p>
    <w:p>
      <w:pPr>
        <w:widowControl/>
        <w:overflowPunct w:val="0"/>
        <w:spacing w:line="250" w:lineRule="auto"/>
        <w:rPr>
          <w:rFonts w:hint="eastAsia" w:ascii="宋体" w:hAnsi="宋体" w:eastAsia="宋体" w:cs="宋体"/>
          <w:sz w:val="32"/>
          <w:szCs w:val="32"/>
        </w:rPr>
      </w:pPr>
    </w:p>
    <w:p>
      <w:pPr>
        <w:widowControl/>
        <w:overflowPunct w:val="0"/>
        <w:spacing w:before="114" w:line="218" w:lineRule="auto"/>
        <w:ind w:left="2957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肥情监测</w:t>
      </w:r>
      <w:bookmarkStart w:id="1" w:name="hmcheck_db6b83318f8c494d92538d61fd83e1a8"/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通</w:t>
      </w:r>
      <w:bookmarkEnd w:id="1"/>
      <w:r>
        <w:rPr>
          <w:rFonts w:hint="eastAsia" w:ascii="宋体" w:hAnsi="宋体" w:eastAsia="宋体" w:cs="宋体"/>
          <w:sz w:val="32"/>
          <w:szCs w:val="32"/>
        </w:rPr>
        <w:t>二维码</w:t>
      </w:r>
    </w:p>
    <w:p>
      <w:pPr>
        <w:jc w:val="center"/>
        <w:rPr>
          <w:rFonts w:hint="eastAsia" w:ascii="宋体" w:hAnsi="宋体" w:eastAsia="宋体" w:cs="宋体"/>
          <w:position w:val="-11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position w:val="-110"/>
          <w:sz w:val="32"/>
          <w:szCs w:val="32"/>
        </w:rPr>
        <w:drawing>
          <wp:inline distT="0" distB="0" distL="114300" distR="114300">
            <wp:extent cx="3073400" cy="3500120"/>
            <wp:effectExtent l="0" t="0" r="5080" b="5080"/>
            <wp:docPr id="5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350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overflowPunct w:val="0"/>
        <w:spacing w:before="101" w:line="230" w:lineRule="auto"/>
        <w:ind w:left="21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件</w:t>
      </w:r>
      <w:r>
        <w:rPr>
          <w:rFonts w:hint="eastAsia" w:ascii="宋体" w:hAnsi="宋体" w:eastAsia="宋体" w:cs="宋体"/>
          <w:sz w:val="32"/>
          <w:szCs w:val="32"/>
        </w:rPr>
        <w:t>2</w:t>
      </w:r>
    </w:p>
    <w:p>
      <w:pPr>
        <w:widowControl/>
        <w:overflowPunct w:val="0"/>
        <w:spacing w:before="114" w:line="218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2" w:name="hmcheck_3f8734f5062746d98392f2130c9e40ec"/>
    </w:p>
    <w:p>
      <w:pPr>
        <w:widowControl/>
        <w:overflowPunct w:val="0"/>
        <w:spacing w:before="114" w:line="218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江夏区测土配方施肥专家咨询系统</w:t>
      </w:r>
      <w:r>
        <w:rPr>
          <w:rFonts w:hint="eastAsia" w:ascii="宋体" w:hAnsi="宋体" w:eastAsia="宋体" w:cs="宋体"/>
          <w:sz w:val="32"/>
          <w:szCs w:val="32"/>
        </w:rPr>
        <w:t>二维码</w:t>
      </w: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bookmarkEnd w:id="2"/>
    <w:p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lang w:val="en-US" w:eastAsia="zh-CN"/>
        </w:rPr>
        <w:drawing>
          <wp:inline distT="0" distB="0" distL="114300" distR="114300">
            <wp:extent cx="3237865" cy="3237865"/>
            <wp:effectExtent l="0" t="0" r="8255" b="8255"/>
            <wp:docPr id="1" name="图片 1" descr="专家系统最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专家系统最新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7865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0" w:beforeAutospacing="0" w:after="0" w:afterAutospacing="0" w:line="560" w:lineRule="exact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附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件</w:t>
      </w:r>
      <w:r>
        <w:rPr>
          <w:rFonts w:hint="eastAsia" w:ascii="宋体" w:hAnsi="宋体" w:eastAsia="宋体" w:cs="宋体"/>
          <w:bCs/>
          <w:sz w:val="32"/>
          <w:szCs w:val="32"/>
        </w:rPr>
        <w:t>3</w:t>
      </w:r>
    </w:p>
    <w:p>
      <w:pPr>
        <w:pStyle w:val="3"/>
        <w:spacing w:beforeAutospacing="0" w:afterAutospacing="0" w:line="560" w:lineRule="exact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"/>
        <w:spacing w:beforeAutospacing="0" w:afterAutospacing="0" w:line="560" w:lineRule="exact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资金安排表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</w:p>
    <w:p>
      <w:pPr>
        <w:pStyle w:val="3"/>
        <w:spacing w:beforeAutospacing="0" w:afterAutospacing="0" w:line="560" w:lineRule="exact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9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444"/>
        <w:gridCol w:w="1256"/>
        <w:gridCol w:w="1860"/>
        <w:gridCol w:w="165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822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2444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内容</w:t>
            </w:r>
          </w:p>
        </w:tc>
        <w:tc>
          <w:tcPr>
            <w:tcW w:w="1256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规模</w:t>
            </w:r>
          </w:p>
        </w:tc>
        <w:tc>
          <w:tcPr>
            <w:tcW w:w="1860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单价</w:t>
            </w:r>
          </w:p>
          <w:p>
            <w:pPr>
              <w:pStyle w:val="3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655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资金（万元）</w:t>
            </w:r>
          </w:p>
        </w:tc>
        <w:tc>
          <w:tcPr>
            <w:tcW w:w="1417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822" w:type="dxa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1</w:t>
            </w:r>
          </w:p>
        </w:tc>
        <w:tc>
          <w:tcPr>
            <w:tcW w:w="2444" w:type="dxa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田间试验</w:t>
            </w:r>
          </w:p>
        </w:tc>
        <w:tc>
          <w:tcPr>
            <w:tcW w:w="1256" w:type="dxa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8个</w:t>
            </w:r>
          </w:p>
        </w:tc>
        <w:tc>
          <w:tcPr>
            <w:tcW w:w="1860" w:type="dxa"/>
            <w:vAlign w:val="top"/>
          </w:tcPr>
          <w:p>
            <w:pPr>
              <w:pStyle w:val="3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2万元/个</w:t>
            </w:r>
          </w:p>
        </w:tc>
        <w:tc>
          <w:tcPr>
            <w:tcW w:w="1655" w:type="dxa"/>
            <w:vAlign w:val="top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  <w:p>
            <w:pPr>
              <w:pStyle w:val="3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22" w:type="dxa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2</w:t>
            </w:r>
          </w:p>
        </w:tc>
        <w:tc>
          <w:tcPr>
            <w:tcW w:w="2444" w:type="dxa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农户施肥调查</w:t>
            </w:r>
          </w:p>
        </w:tc>
        <w:tc>
          <w:tcPr>
            <w:tcW w:w="1256" w:type="dxa"/>
            <w:vAlign w:val="top"/>
          </w:tcPr>
          <w:p>
            <w:pPr>
              <w:pStyle w:val="3"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150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bidi="ar-SA"/>
              </w:rPr>
              <w:t>户</w:t>
            </w:r>
          </w:p>
        </w:tc>
        <w:tc>
          <w:tcPr>
            <w:tcW w:w="1860" w:type="dxa"/>
            <w:vAlign w:val="top"/>
          </w:tcPr>
          <w:p>
            <w:pPr>
              <w:pStyle w:val="3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400元/户</w:t>
            </w:r>
          </w:p>
        </w:tc>
        <w:tc>
          <w:tcPr>
            <w:tcW w:w="1655" w:type="dxa"/>
            <w:vAlign w:val="top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417" w:type="dxa"/>
            <w:vAlign w:val="top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 w:bidi="ar-SA"/>
              </w:rPr>
            </w:pPr>
          </w:p>
        </w:tc>
      </w:tr>
    </w:tbl>
    <w:p>
      <w:pPr>
        <w:spacing w:line="560" w:lineRule="exact"/>
        <w:rPr>
          <w:rFonts w:hint="eastAsia" w:ascii="宋体" w:hAnsi="宋体" w:eastAsia="宋体" w:cs="宋体"/>
          <w:sz w:val="32"/>
          <w:szCs w:val="32"/>
        </w:rPr>
        <w:sectPr>
          <w:headerReference r:id="rId3" w:type="default"/>
          <w:pgSz w:w="11906" w:h="16838"/>
          <w:pgMar w:top="1417" w:right="1797" w:bottom="1417" w:left="1797" w:header="851" w:footer="992" w:gutter="0"/>
          <w:cols w:space="720" w:num="1"/>
          <w:docGrid w:type="lines" w:linePitch="319" w:charSpace="0"/>
        </w:sectPr>
      </w:pPr>
      <w:r>
        <w:rPr>
          <w:rFonts w:hint="eastAsia" w:ascii="宋体" w:hAnsi="宋体" w:eastAsia="宋体" w:cs="宋体"/>
          <w:sz w:val="32"/>
          <w:szCs w:val="32"/>
        </w:rPr>
        <w:t>注：上表中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单价</w:t>
      </w:r>
      <w:r>
        <w:rPr>
          <w:rFonts w:hint="eastAsia" w:ascii="宋体" w:hAnsi="宋体" w:eastAsia="宋体" w:cs="宋体"/>
          <w:sz w:val="32"/>
          <w:szCs w:val="32"/>
        </w:rPr>
        <w:t>为根据市场价或调查了解的估算值，最终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价格以</w:t>
      </w:r>
      <w:r>
        <w:rPr>
          <w:rFonts w:hint="eastAsia" w:ascii="宋体" w:hAnsi="宋体" w:eastAsia="宋体" w:cs="宋体"/>
          <w:sz w:val="32"/>
          <w:szCs w:val="32"/>
        </w:rPr>
        <w:t>实际实施为准。</w:t>
      </w:r>
    </w:p>
    <w:p>
      <w:pPr>
        <w:spacing w:line="560" w:lineRule="exact"/>
        <w:jc w:val="both"/>
        <w:rPr>
          <w:rFonts w:hint="default" w:ascii="宋体" w:hAnsi="宋体" w:eastAsia="宋体" w:cs="宋体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sz w:val="32"/>
          <w:szCs w:val="32"/>
          <w:lang w:val="en-US" w:eastAsia="zh-CN" w:bidi="ar"/>
        </w:rPr>
        <w:t>附件4</w:t>
      </w:r>
    </w:p>
    <w:p>
      <w:pPr>
        <w:spacing w:line="560" w:lineRule="exact"/>
        <w:jc w:val="center"/>
        <w:rPr>
          <w:rFonts w:hint="eastAsia" w:ascii="宋体" w:hAnsi="宋体" w:eastAsia="宋体" w:cs="宋体"/>
          <w:sz w:val="32"/>
          <w:szCs w:val="32"/>
          <w:lang w:bidi="ar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bidi="ar"/>
        </w:rPr>
        <w:t>工作专班名单</w:t>
      </w:r>
    </w:p>
    <w:p>
      <w:pPr>
        <w:spacing w:line="560" w:lineRule="exact"/>
        <w:rPr>
          <w:rFonts w:hint="eastAsia" w:ascii="宋体" w:hAnsi="宋体" w:eastAsia="宋体" w:cs="宋体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bidi="ar"/>
        </w:rPr>
      </w:pPr>
      <w:r>
        <w:rPr>
          <w:rFonts w:hint="eastAsia" w:ascii="宋体" w:hAnsi="宋体" w:eastAsia="宋体" w:cs="宋体"/>
          <w:sz w:val="32"/>
          <w:szCs w:val="32"/>
          <w:lang w:bidi="ar"/>
        </w:rPr>
        <w:t xml:space="preserve">组 </w:t>
      </w:r>
      <w:r>
        <w:rPr>
          <w:rFonts w:hint="eastAsia" w:ascii="宋体" w:hAnsi="宋体" w:eastAsia="宋体" w:cs="宋体"/>
          <w:sz w:val="32"/>
          <w:szCs w:val="32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lang w:bidi="ar"/>
        </w:rPr>
        <w:t xml:space="preserve"> 长：李 </w:t>
      </w:r>
      <w:r>
        <w:rPr>
          <w:rFonts w:hint="eastAsia" w:ascii="宋体" w:hAnsi="宋体" w:eastAsia="宋体" w:cs="宋体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bidi="ar"/>
        </w:rPr>
        <w:t>祥 区农业技术推广中心主任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宋体" w:hAnsi="宋体" w:eastAsia="宋体" w:cs="宋体"/>
          <w:sz w:val="32"/>
          <w:szCs w:val="32"/>
          <w:lang w:bidi="ar"/>
        </w:rPr>
      </w:pPr>
      <w:r>
        <w:rPr>
          <w:rFonts w:hint="eastAsia" w:ascii="宋体" w:hAnsi="宋体" w:eastAsia="宋体" w:cs="宋体"/>
          <w:sz w:val="32"/>
          <w:szCs w:val="32"/>
          <w:lang w:bidi="ar"/>
        </w:rPr>
        <w:t>副</w:t>
      </w:r>
      <w:r>
        <w:rPr>
          <w:rFonts w:hint="eastAsia" w:ascii="宋体" w:hAnsi="宋体" w:eastAsia="宋体" w:cs="宋体"/>
          <w:sz w:val="32"/>
          <w:szCs w:val="32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bidi="ar"/>
        </w:rPr>
        <w:t>组</w:t>
      </w:r>
      <w:r>
        <w:rPr>
          <w:rFonts w:hint="eastAsia" w:ascii="宋体" w:hAnsi="宋体" w:eastAsia="宋体" w:cs="宋体"/>
          <w:sz w:val="32"/>
          <w:szCs w:val="32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bidi="ar"/>
        </w:rPr>
        <w:t>长：</w:t>
      </w:r>
      <w:r>
        <w:rPr>
          <w:rFonts w:hint="eastAsia" w:ascii="宋体" w:hAnsi="宋体" w:eastAsia="宋体" w:cs="宋体"/>
          <w:sz w:val="32"/>
          <w:szCs w:val="32"/>
          <w:lang w:val="en-US" w:eastAsia="zh-CN" w:bidi="ar"/>
        </w:rPr>
        <w:t>湛维成</w:t>
      </w:r>
      <w:r>
        <w:rPr>
          <w:rFonts w:hint="eastAsia" w:ascii="宋体" w:hAnsi="宋体" w:eastAsia="宋体" w:cs="宋体"/>
          <w:sz w:val="32"/>
          <w:szCs w:val="32"/>
          <w:lang w:bidi="ar"/>
        </w:rPr>
        <w:t xml:space="preserve"> 区农业技术推广中心党委委员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宋体" w:hAnsi="宋体" w:eastAsia="宋体" w:cs="宋体"/>
          <w:sz w:val="32"/>
          <w:szCs w:val="32"/>
          <w:lang w:bidi="ar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"/>
        </w:rPr>
        <w:t>项目负责人：陈细桂</w:t>
      </w:r>
      <w:r>
        <w:rPr>
          <w:rFonts w:hint="eastAsia" w:ascii="宋体" w:hAnsi="宋体" w:eastAsia="宋体" w:cs="宋体"/>
          <w:sz w:val="32"/>
          <w:szCs w:val="32"/>
          <w:lang w:bidi="ar"/>
        </w:rPr>
        <w:t xml:space="preserve"> 区农业技术推广中心高级农艺师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lang w:bidi="ar"/>
        </w:rPr>
      </w:pPr>
      <w:r>
        <w:rPr>
          <w:rFonts w:hint="eastAsia" w:ascii="宋体" w:hAnsi="宋体" w:eastAsia="宋体" w:cs="宋体"/>
          <w:sz w:val="32"/>
          <w:szCs w:val="32"/>
          <w:lang w:bidi="ar"/>
        </w:rPr>
        <w:t xml:space="preserve">成 </w:t>
      </w:r>
      <w:r>
        <w:rPr>
          <w:rFonts w:hint="eastAsia" w:ascii="宋体" w:hAnsi="宋体" w:eastAsia="宋体" w:cs="宋体"/>
          <w:sz w:val="32"/>
          <w:szCs w:val="32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lang w:bidi="ar"/>
        </w:rPr>
        <w:t xml:space="preserve"> 员：王资武 区农业技术推广中心干部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default" w:ascii="宋体" w:hAnsi="宋体" w:eastAsia="宋体" w:cs="宋体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sz w:val="32"/>
          <w:szCs w:val="32"/>
          <w:lang w:bidi="ar"/>
        </w:rPr>
        <w:t>刘哲良 区农业技术推广中心</w:t>
      </w:r>
      <w:r>
        <w:rPr>
          <w:rFonts w:hint="eastAsia" w:ascii="宋体" w:hAnsi="宋体" w:eastAsia="宋体" w:cs="宋体"/>
          <w:sz w:val="32"/>
          <w:szCs w:val="32"/>
          <w:lang w:val="en-US" w:eastAsia="zh-CN" w:bidi="ar"/>
        </w:rPr>
        <w:t>助理农艺师</w:t>
      </w:r>
    </w:p>
    <w:p>
      <w:pPr>
        <w:pStyle w:val="2"/>
        <w:rPr>
          <w:rFonts w:hint="eastAsia"/>
        </w:rPr>
        <w:sectPr>
          <w:pgSz w:w="11906" w:h="16838"/>
          <w:pgMar w:top="1417" w:right="1797" w:bottom="1417" w:left="1797" w:header="851" w:footer="992" w:gutter="0"/>
          <w:cols w:space="720" w:num="1"/>
          <w:docGrid w:type="lines" w:linePitch="319" w:charSpace="0"/>
        </w:sectPr>
      </w:pPr>
    </w:p>
    <w:p>
      <w:pPr>
        <w:pStyle w:val="3"/>
        <w:spacing w:before="0" w:beforeAutospacing="0" w:after="0" w:afterAutospacing="0" w:line="600" w:lineRule="exact"/>
        <w:rPr>
          <w:rFonts w:hint="eastAsia" w:ascii="宋体" w:hAnsi="宋体" w:eastAsia="宋体" w:cs="宋体"/>
          <w:kern w:val="2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附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件5</w:t>
      </w:r>
    </w:p>
    <w:p>
      <w:pPr>
        <w:spacing w:line="560" w:lineRule="exact"/>
        <w:jc w:val="center"/>
        <w:rPr>
          <w:rFonts w:hint="eastAsia" w:ascii="宋体" w:hAnsi="宋体" w:eastAsia="宋体" w:cs="宋体"/>
          <w:sz w:val="32"/>
          <w:szCs w:val="32"/>
          <w:lang w:bidi="ar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sz w:val="32"/>
          <w:szCs w:val="32"/>
          <w:lang w:bidi="ar"/>
        </w:rPr>
      </w:pPr>
      <w:r>
        <w:rPr>
          <w:rFonts w:hint="eastAsia" w:ascii="宋体" w:hAnsi="宋体" w:eastAsia="宋体" w:cs="宋体"/>
          <w:sz w:val="32"/>
          <w:szCs w:val="32"/>
          <w:lang w:bidi="ar"/>
        </w:rPr>
        <w:t>技术指导组名单</w:t>
      </w: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2560" w:hanging="2560" w:hangingChars="800"/>
        <w:textAlignment w:val="auto"/>
        <w:rPr>
          <w:rFonts w:hint="eastAsia" w:ascii="宋体" w:hAnsi="宋体" w:eastAsia="宋体" w:cs="宋体"/>
          <w:sz w:val="32"/>
          <w:szCs w:val="32"/>
          <w:lang w:bidi="ar"/>
        </w:rPr>
      </w:pPr>
      <w:r>
        <w:rPr>
          <w:rFonts w:hint="eastAsia" w:ascii="宋体" w:hAnsi="宋体" w:eastAsia="宋体" w:cs="宋体"/>
          <w:sz w:val="32"/>
          <w:szCs w:val="32"/>
          <w:lang w:bidi="ar"/>
        </w:rPr>
        <w:t>组  长：</w:t>
      </w:r>
      <w:r>
        <w:rPr>
          <w:rFonts w:hint="eastAsia" w:ascii="宋体" w:hAnsi="宋体" w:eastAsia="宋体" w:cs="宋体"/>
          <w:spacing w:val="-6"/>
          <w:sz w:val="32"/>
          <w:szCs w:val="32"/>
          <w:lang w:val="en-US" w:eastAsia="zh-CN"/>
        </w:rPr>
        <w:t>杨文兵</w:t>
      </w:r>
      <w:r>
        <w:rPr>
          <w:rFonts w:hint="eastAsia" w:ascii="宋体" w:hAnsi="宋体" w:eastAsia="宋体" w:cs="宋体"/>
          <w:spacing w:val="-6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湖北省农业农村厅土壤肥料工作总站研究员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textAlignment w:val="auto"/>
        <w:rPr>
          <w:rFonts w:hint="eastAsia" w:ascii="宋体" w:hAnsi="宋体" w:eastAsia="宋体" w:cs="宋体"/>
          <w:spacing w:val="-2"/>
          <w:kern w:val="2"/>
          <w:sz w:val="32"/>
          <w:szCs w:val="32"/>
        </w:rPr>
      </w:pPr>
      <w:r>
        <w:rPr>
          <w:rFonts w:hint="eastAsia" w:ascii="宋体" w:hAnsi="宋体" w:eastAsia="宋体" w:cs="宋体"/>
          <w:spacing w:val="-6"/>
          <w:sz w:val="32"/>
          <w:szCs w:val="32"/>
        </w:rPr>
        <w:t>成  员：</w:t>
      </w:r>
      <w:r>
        <w:rPr>
          <w:rFonts w:hint="eastAsia" w:ascii="宋体" w:hAnsi="宋体" w:eastAsia="宋体" w:cs="宋体"/>
          <w:spacing w:val="-2"/>
          <w:kern w:val="2"/>
          <w:sz w:val="32"/>
          <w:szCs w:val="32"/>
        </w:rPr>
        <w:t>苏  斌  武汉市农业技术推广中心高级农艺师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1264" w:firstLineChars="400"/>
        <w:textAlignment w:val="auto"/>
        <w:rPr>
          <w:rFonts w:hint="eastAsia" w:ascii="宋体" w:hAnsi="宋体" w:eastAsia="宋体" w:cs="宋体"/>
          <w:spacing w:val="-2"/>
          <w:kern w:val="2"/>
          <w:sz w:val="32"/>
          <w:szCs w:val="32"/>
        </w:rPr>
      </w:pPr>
      <w:r>
        <w:rPr>
          <w:rFonts w:hint="eastAsia" w:ascii="宋体" w:hAnsi="宋体" w:eastAsia="宋体" w:cs="宋体"/>
          <w:spacing w:val="-2"/>
          <w:kern w:val="2"/>
          <w:sz w:val="32"/>
          <w:szCs w:val="32"/>
          <w:lang w:val="en-US" w:eastAsia="zh-CN"/>
        </w:rPr>
        <w:t xml:space="preserve">韩  天  </w:t>
      </w:r>
      <w:r>
        <w:rPr>
          <w:rFonts w:hint="eastAsia" w:ascii="宋体" w:hAnsi="宋体" w:eastAsia="宋体" w:cs="宋体"/>
          <w:spacing w:val="-2"/>
          <w:kern w:val="2"/>
          <w:sz w:val="32"/>
          <w:szCs w:val="32"/>
        </w:rPr>
        <w:t>武汉市农业技术推广中心</w:t>
      </w:r>
      <w:r>
        <w:rPr>
          <w:rFonts w:hint="eastAsia" w:ascii="宋体" w:hAnsi="宋体" w:eastAsia="宋体" w:cs="宋体"/>
          <w:spacing w:val="-2"/>
          <w:kern w:val="2"/>
          <w:sz w:val="32"/>
          <w:szCs w:val="32"/>
          <w:lang w:val="en-US" w:eastAsia="zh-CN"/>
        </w:rPr>
        <w:t>中级</w:t>
      </w:r>
      <w:r>
        <w:rPr>
          <w:rFonts w:hint="eastAsia" w:ascii="宋体" w:hAnsi="宋体" w:eastAsia="宋体" w:cs="宋体"/>
          <w:spacing w:val="-2"/>
          <w:kern w:val="2"/>
          <w:sz w:val="32"/>
          <w:szCs w:val="32"/>
        </w:rPr>
        <w:t>农艺师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1264" w:firstLineChars="400"/>
        <w:textAlignment w:val="auto"/>
        <w:rPr>
          <w:rFonts w:hint="default" w:ascii="宋体" w:hAnsi="宋体" w:eastAsia="宋体" w:cs="宋体"/>
          <w:spacing w:val="-2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2"/>
          <w:kern w:val="2"/>
          <w:sz w:val="32"/>
          <w:szCs w:val="32"/>
          <w:lang w:val="en-US" w:eastAsia="zh-CN"/>
        </w:rPr>
        <w:t xml:space="preserve">李  研  </w:t>
      </w:r>
      <w:r>
        <w:rPr>
          <w:rFonts w:hint="eastAsia" w:ascii="宋体" w:hAnsi="宋体" w:eastAsia="宋体" w:cs="宋体"/>
          <w:spacing w:val="-2"/>
          <w:kern w:val="2"/>
          <w:sz w:val="32"/>
          <w:szCs w:val="32"/>
        </w:rPr>
        <w:t>武汉市农业技术推广中心</w:t>
      </w:r>
      <w:r>
        <w:rPr>
          <w:rFonts w:hint="eastAsia" w:ascii="宋体" w:hAnsi="宋体" w:eastAsia="宋体" w:cs="宋体"/>
          <w:spacing w:val="-2"/>
          <w:kern w:val="2"/>
          <w:sz w:val="32"/>
          <w:szCs w:val="32"/>
          <w:lang w:val="en-US" w:eastAsia="zh-CN"/>
        </w:rPr>
        <w:t>助理</w:t>
      </w:r>
      <w:r>
        <w:rPr>
          <w:rFonts w:hint="eastAsia" w:ascii="宋体" w:hAnsi="宋体" w:eastAsia="宋体" w:cs="宋体"/>
          <w:spacing w:val="-2"/>
          <w:kern w:val="2"/>
          <w:sz w:val="32"/>
          <w:szCs w:val="32"/>
        </w:rPr>
        <w:t>农艺师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280" w:firstLineChars="4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"/>
        </w:rPr>
        <w:t>陈细桂</w:t>
      </w:r>
      <w:r>
        <w:rPr>
          <w:rFonts w:hint="eastAsia" w:ascii="宋体" w:hAnsi="宋体" w:eastAsia="宋体" w:cs="宋体"/>
          <w:sz w:val="32"/>
          <w:szCs w:val="32"/>
          <w:lang w:bidi="ar"/>
        </w:rPr>
        <w:t xml:space="preserve">  区农业技术推广中心高级农艺师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280" w:firstLineChars="400"/>
        <w:textAlignment w:val="auto"/>
        <w:rPr>
          <w:rFonts w:hint="eastAsia" w:ascii="宋体" w:hAnsi="宋体" w:eastAsia="宋体" w:cs="宋体"/>
          <w:sz w:val="32"/>
          <w:szCs w:val="32"/>
          <w:lang w:bidi="ar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"/>
        </w:rPr>
        <w:t>刘哲良</w:t>
      </w:r>
      <w:r>
        <w:rPr>
          <w:rFonts w:hint="eastAsia" w:ascii="宋体" w:hAnsi="宋体" w:eastAsia="宋体" w:cs="宋体"/>
          <w:sz w:val="32"/>
          <w:szCs w:val="32"/>
          <w:lang w:bidi="ar"/>
        </w:rPr>
        <w:t xml:space="preserve">  区农业技术推广中心</w:t>
      </w:r>
      <w:r>
        <w:rPr>
          <w:rFonts w:hint="eastAsia" w:ascii="宋体" w:hAnsi="宋体" w:eastAsia="宋体" w:cs="宋体"/>
          <w:sz w:val="32"/>
          <w:szCs w:val="32"/>
          <w:lang w:val="en-US" w:eastAsia="zh-CN" w:bidi="ar"/>
        </w:rPr>
        <w:t>助理</w:t>
      </w:r>
      <w:r>
        <w:rPr>
          <w:rFonts w:hint="eastAsia" w:ascii="宋体" w:hAnsi="宋体" w:eastAsia="宋体" w:cs="宋体"/>
          <w:sz w:val="32"/>
          <w:szCs w:val="32"/>
          <w:lang w:bidi="ar"/>
        </w:rPr>
        <w:t>农艺师</w:t>
      </w:r>
    </w:p>
    <w:p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ZTMxNGEzMjVmODk4NjUwNDVlMDQ1NGJlNGMyMGEifQ=="/>
  </w:docVars>
  <w:rsids>
    <w:rsidRoot w:val="00000000"/>
    <w:rsid w:val="0B187425"/>
    <w:rsid w:val="1A5C2552"/>
    <w:rsid w:val="27050FC2"/>
    <w:rsid w:val="30E52DCA"/>
    <w:rsid w:val="372516B5"/>
    <w:rsid w:val="398712AE"/>
    <w:rsid w:val="40995BBF"/>
    <w:rsid w:val="5E022126"/>
    <w:rsid w:val="72A67D31"/>
    <w:rsid w:val="7B26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ind w:firstLine="630"/>
    </w:pPr>
    <w:rPr>
      <w:rFonts w:ascii="仿宋_GB2312" w:hAnsi="Times New Roman" w:eastAsia="仿宋_GB2312" w:cs="Times New Roman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"/>
    <w:basedOn w:val="1"/>
    <w:next w:val="5"/>
    <w:semiHidden/>
    <w:qFormat/>
    <w:uiPriority w:val="0"/>
    <w:pPr>
      <w:spacing w:before="100" w:beforeAutospacing="1" w:after="100" w:afterAutospacing="1"/>
      <w:ind w:left="3256"/>
    </w:pPr>
    <w:rPr>
      <w:rFonts w:ascii="宋体" w:hAnsi="宋体" w:eastAsia="宋体"/>
      <w:sz w:val="20"/>
      <w:szCs w:val="20"/>
    </w:rPr>
  </w:style>
  <w:style w:type="paragraph" w:customStyle="1" w:styleId="5">
    <w:name w:val="_Style 2"/>
    <w:basedOn w:val="1"/>
    <w:next w:val="1"/>
    <w:qFormat/>
    <w:uiPriority w:val="99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2374</Words>
  <Characters>2424</Characters>
  <Lines>0</Lines>
  <Paragraphs>0</Paragraphs>
  <TotalTime>12</TotalTime>
  <ScaleCrop>false</ScaleCrop>
  <LinksUpToDate>false</LinksUpToDate>
  <CharactersWithSpaces>2479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2026-07-21T00:27:00Z</dcterms:created>
  <dc:creator>ASUS</dc:creator>
  <cp:lastModifiedBy>陈细桂</cp:lastModifiedBy>
  <dcterms:modified xsi:type="dcterms:W3CDTF">2026-07-24T00:00:17Z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8610E335F7C94872A026D9C0B08AE30C</vt:lpwstr>
  </property>
</Properties>
</file>